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6C4311">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2842BA">
      <w:pPr>
        <w:jc w:val="both"/>
        <w:rPr>
          <w:b/>
          <w:bCs/>
        </w:rPr>
      </w:pPr>
    </w:p>
    <w:p w14:paraId="61FE5354" w14:textId="710BE68C" w:rsidR="0036662A" w:rsidRPr="00930FD1" w:rsidRDefault="008D748C" w:rsidP="00BA1CAF">
      <w:pPr>
        <w:jc w:val="center"/>
        <w:rPr>
          <w:b/>
          <w:bCs/>
          <w:szCs w:val="24"/>
        </w:rPr>
      </w:pPr>
      <w:r w:rsidRPr="008D748C">
        <w:rPr>
          <w:b/>
          <w:bCs/>
          <w:szCs w:val="24"/>
        </w:rPr>
        <w:t>2022–2030 METŲ EKONOMIKOS TRANSFORMACIJOS IR KONKURENCINGUMO PLĖTROS PROGRAMOS PAŽANGOS PRIEMONĖS NR. 05-001-01-06-03 „GERINTI KONKURENCINĘ INVESTICIJŲ PRITRAUKIMO APLINKĄ“ VEIKLOS „5. UŽSIENIO IR VIETOS INVESTUOTOJŲ SU DIDELIU DARBO VIETŲ KŪRIMO POTENCIALU PRITRAUKIMAS KAUNO, ŠIAULIŲ IR TELŠIŲ APSKRITYSE“ POVEIKLĖS „5.2 UŽSIENIO IR VIETOS INVESTUOTOJŲ SU DIDELIU DARBO VIETŲ KŪRIMO POTENCIALU PRITRAUKIMAS KAUNO APSKR.“ PROJEKTŲ ATRANKOS KRITERIJ</w:t>
      </w:r>
      <w:r>
        <w:rPr>
          <w:b/>
          <w:bCs/>
          <w:szCs w:val="24"/>
        </w:rPr>
        <w:t xml:space="preserve">Ų </w:t>
      </w:r>
      <w:r w:rsidR="00A323E0" w:rsidRPr="00017566">
        <w:rPr>
          <w:b/>
          <w:bCs/>
        </w:rPr>
        <w:t>DERINIMAS</w:t>
      </w:r>
    </w:p>
    <w:p w14:paraId="168B0F39" w14:textId="6FD3BC6B" w:rsidR="00984D10" w:rsidRPr="00996516" w:rsidRDefault="00984D10" w:rsidP="002842BA">
      <w:pPr>
        <w:jc w:val="both"/>
        <w:rPr>
          <w:b/>
          <w:bCs/>
          <w:lang w:val="en-US"/>
        </w:rPr>
      </w:pPr>
    </w:p>
    <w:p w14:paraId="28F05659" w14:textId="158269B1" w:rsidR="00984D10" w:rsidRPr="00984D10" w:rsidRDefault="00984D10" w:rsidP="002842BA">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2842BA">
      <w:pPr>
        <w:jc w:val="both"/>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2842BA">
            <w:pPr>
              <w:jc w:val="both"/>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6E96A7AE" w:rsidR="0036662A" w:rsidRPr="008D748C" w:rsidRDefault="00F65129" w:rsidP="002842BA">
            <w:pPr>
              <w:jc w:val="both"/>
              <w:rPr>
                <w:szCs w:val="24"/>
                <w:highlight w:val="yellow"/>
              </w:rPr>
            </w:pPr>
            <w:r w:rsidRPr="00466A09">
              <w:rPr>
                <w:szCs w:val="24"/>
              </w:rPr>
              <w:t>202</w:t>
            </w:r>
            <w:r w:rsidR="00466A09" w:rsidRPr="00466A09">
              <w:rPr>
                <w:szCs w:val="24"/>
                <w:lang w:val="en-US"/>
              </w:rPr>
              <w:t>4</w:t>
            </w:r>
            <w:r w:rsidRPr="00466A09">
              <w:rPr>
                <w:szCs w:val="24"/>
              </w:rPr>
              <w:t>-</w:t>
            </w:r>
            <w:r w:rsidR="00466A09" w:rsidRPr="00466A09">
              <w:rPr>
                <w:szCs w:val="24"/>
              </w:rPr>
              <w:t>12</w:t>
            </w:r>
            <w:r w:rsidRPr="00466A09">
              <w:rPr>
                <w:szCs w:val="24"/>
              </w:rPr>
              <w:t>-</w:t>
            </w:r>
            <w:r w:rsidR="00766449" w:rsidRPr="00466A09">
              <w:rPr>
                <w:szCs w:val="24"/>
              </w:rPr>
              <w:t>1</w:t>
            </w:r>
            <w:r w:rsidR="00466A09" w:rsidRPr="00466A09">
              <w:rPr>
                <w:szCs w:val="24"/>
              </w:rPr>
              <w:t>2</w:t>
            </w:r>
          </w:p>
        </w:tc>
      </w:tr>
      <w:tr w:rsidR="0036662A" w:rsidRPr="00017566" w14:paraId="0B887416" w14:textId="77777777" w:rsidTr="008214AD">
        <w:tc>
          <w:tcPr>
            <w:tcW w:w="6804"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684" w:type="dxa"/>
          </w:tcPr>
          <w:p w14:paraId="3F99D4E0" w14:textId="7C366785" w:rsidR="0036662A" w:rsidRPr="00017566" w:rsidRDefault="005B09A6" w:rsidP="002842BA">
            <w:pPr>
              <w:jc w:val="both"/>
            </w:pPr>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DD5D6B" w:rsidP="002842BA">
            <w:pPr>
              <w:jc w:val="both"/>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2842BA">
      <w:pPr>
        <w:jc w:val="both"/>
        <w:rPr>
          <w:szCs w:val="24"/>
        </w:rPr>
      </w:pPr>
    </w:p>
    <w:tbl>
      <w:tblPr>
        <w:tblStyle w:val="TableGrid"/>
        <w:tblW w:w="14488" w:type="dxa"/>
        <w:tblLayout w:type="fixed"/>
        <w:tblLook w:val="04A0" w:firstRow="1" w:lastRow="0" w:firstColumn="1" w:lastColumn="0" w:noHBand="0" w:noVBand="1"/>
      </w:tblPr>
      <w:tblGrid>
        <w:gridCol w:w="567"/>
        <w:gridCol w:w="1730"/>
        <w:gridCol w:w="6487"/>
        <w:gridCol w:w="5704"/>
      </w:tblGrid>
      <w:tr w:rsidR="0036662A" w:rsidRPr="006C4311" w14:paraId="6A4E2F17" w14:textId="77777777" w:rsidTr="002842BA">
        <w:tc>
          <w:tcPr>
            <w:tcW w:w="567" w:type="dxa"/>
          </w:tcPr>
          <w:p w14:paraId="025A5EA9" w14:textId="77777777" w:rsidR="0036662A" w:rsidRPr="006C4311" w:rsidRDefault="0036662A" w:rsidP="002842BA">
            <w:pPr>
              <w:jc w:val="both"/>
              <w:rPr>
                <w:b/>
                <w:szCs w:val="24"/>
              </w:rPr>
            </w:pPr>
            <w:r w:rsidRPr="006C4311">
              <w:rPr>
                <w:b/>
                <w:szCs w:val="24"/>
              </w:rPr>
              <w:t>Nr.</w:t>
            </w:r>
          </w:p>
        </w:tc>
        <w:tc>
          <w:tcPr>
            <w:tcW w:w="173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487"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704"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466A09" w:rsidRPr="006C4311" w14:paraId="0889DDFC" w14:textId="77777777" w:rsidTr="002842BA">
        <w:tc>
          <w:tcPr>
            <w:tcW w:w="567" w:type="dxa"/>
          </w:tcPr>
          <w:p w14:paraId="11BDDE3F" w14:textId="40D2B079" w:rsidR="00466A09" w:rsidRPr="006C4311" w:rsidRDefault="00466A09" w:rsidP="002842BA">
            <w:pPr>
              <w:jc w:val="both"/>
              <w:rPr>
                <w:bCs/>
                <w:szCs w:val="24"/>
              </w:rPr>
            </w:pPr>
            <w:r w:rsidRPr="006C4311">
              <w:rPr>
                <w:bCs/>
                <w:szCs w:val="24"/>
              </w:rPr>
              <w:t>1</w:t>
            </w:r>
          </w:p>
        </w:tc>
        <w:tc>
          <w:tcPr>
            <w:tcW w:w="1730" w:type="dxa"/>
            <w:tcBorders>
              <w:bottom w:val="single" w:sz="4" w:space="0" w:color="auto"/>
            </w:tcBorders>
          </w:tcPr>
          <w:p w14:paraId="3C03CCC3" w14:textId="2109FA4A" w:rsidR="00466A09" w:rsidRPr="006C4311" w:rsidRDefault="00466A09" w:rsidP="002842BA">
            <w:pPr>
              <w:jc w:val="both"/>
              <w:rPr>
                <w:bCs/>
                <w:szCs w:val="24"/>
              </w:rPr>
            </w:pPr>
            <w:r w:rsidRPr="006C4311">
              <w:rPr>
                <w:bCs/>
                <w:szCs w:val="24"/>
              </w:rPr>
              <w:t xml:space="preserve">UAB </w:t>
            </w:r>
            <w:proofErr w:type="spellStart"/>
            <w:r w:rsidRPr="006C4311">
              <w:rPr>
                <w:bCs/>
                <w:szCs w:val="24"/>
              </w:rPr>
              <w:t>Responsum</w:t>
            </w:r>
            <w:proofErr w:type="spellEnd"/>
          </w:p>
        </w:tc>
        <w:tc>
          <w:tcPr>
            <w:tcW w:w="6487" w:type="dxa"/>
          </w:tcPr>
          <w:p w14:paraId="78D31F51" w14:textId="3933B428" w:rsidR="00466A09" w:rsidRPr="006C4311" w:rsidRDefault="00466A09" w:rsidP="002842BA">
            <w:pPr>
              <w:jc w:val="both"/>
              <w:rPr>
                <w:bCs/>
                <w:szCs w:val="24"/>
              </w:rPr>
            </w:pPr>
            <w:r w:rsidRPr="00466A09">
              <w:rPr>
                <w:bCs/>
                <w:szCs w:val="24"/>
              </w:rPr>
              <w:t>Pareiškėjų ratas lyginant su prieš tai buvusiu kvietimu susiaurintas iki pramonės įmonių, tai užkerta kelią įmonėms planuojančioms gamybinę veiklą, bet šiuo metu nepriskiriamoms gamybinėms įmonėms gauti finansavimą. Siūlytumėm praplėsti galimų pareiškėjų ratą, įtraukiant įmones, kurios investicijas panaudotų pramonės ekonominei veiklai.</w:t>
            </w:r>
          </w:p>
        </w:tc>
        <w:tc>
          <w:tcPr>
            <w:tcW w:w="5704" w:type="dxa"/>
          </w:tcPr>
          <w:p w14:paraId="45E888FA" w14:textId="77777777" w:rsidR="00466A09" w:rsidRPr="006C4311" w:rsidRDefault="007E3A69" w:rsidP="002842BA">
            <w:pPr>
              <w:jc w:val="both"/>
              <w:rPr>
                <w:bCs/>
                <w:szCs w:val="24"/>
              </w:rPr>
            </w:pPr>
            <w:r w:rsidRPr="006C4311">
              <w:rPr>
                <w:b/>
                <w:szCs w:val="24"/>
              </w:rPr>
              <w:t>Neatsižvelgta</w:t>
            </w:r>
            <w:r w:rsidRPr="006C4311">
              <w:rPr>
                <w:bCs/>
                <w:szCs w:val="24"/>
              </w:rPr>
              <w:t>.</w:t>
            </w:r>
          </w:p>
          <w:p w14:paraId="42CBBC20" w14:textId="77777777" w:rsidR="007E3A69" w:rsidRDefault="00BA1CAF" w:rsidP="002842BA">
            <w:pPr>
              <w:jc w:val="both"/>
              <w:rPr>
                <w:szCs w:val="24"/>
              </w:rPr>
            </w:pPr>
            <w:r w:rsidRPr="006C4311">
              <w:rPr>
                <w:bCs/>
                <w:szCs w:val="24"/>
              </w:rPr>
              <w:t>Teisingos pertvarkos fondo investicijomis siekiama mažinti dėl perėjimo prie klimatui neutralios ekonomikos kylančias pasekmes. „</w:t>
            </w:r>
            <w:r w:rsidRPr="006C4311">
              <w:rPr>
                <w:szCs w:val="24"/>
              </w:rPr>
              <w:t xml:space="preserve">Užsienio ir vietos investuotojų su dideliu darbo vietų kūrimo potencialu pritraukimo Kauno apskr.“ </w:t>
            </w:r>
            <w:proofErr w:type="spellStart"/>
            <w:r w:rsidRPr="006C4311">
              <w:rPr>
                <w:szCs w:val="24"/>
              </w:rPr>
              <w:t>poveikle</w:t>
            </w:r>
            <w:proofErr w:type="spellEnd"/>
            <w:r w:rsidRPr="006C4311">
              <w:rPr>
                <w:szCs w:val="24"/>
              </w:rPr>
              <w:t xml:space="preserve"> siekiama mažinti regiono priklausomybę nuo vieno darbdavio (AB Achema). Įvertinus šią aplinkybę, taip pat atsižvelgus į pirmojo šios priemonės kvietimo rezultatus, priimtas sprendimas koncentruoti investicijas pramonės įmonėms, kurios užtikrintų tvarių darbo vietų sukūrimą ir išlaikymą Kauno apskrityje ir tokiu būdu mažintų regiono, ypatingai Jonavos raj. sav. priklausomybę nuo vieno didelio darbdavio.</w:t>
            </w:r>
          </w:p>
          <w:p w14:paraId="56655565" w14:textId="5E5DFF4F" w:rsidR="007571EF" w:rsidRPr="006C4311" w:rsidRDefault="007571EF" w:rsidP="007571EF">
            <w:pPr>
              <w:jc w:val="both"/>
              <w:rPr>
                <w:bCs/>
                <w:szCs w:val="24"/>
              </w:rPr>
            </w:pPr>
            <w:r>
              <w:rPr>
                <w:szCs w:val="24"/>
              </w:rPr>
              <w:lastRenderedPageBreak/>
              <w:t xml:space="preserve">Papildomai atkreipiame dėmesį, kad Devynioliktosios </w:t>
            </w:r>
            <w:r w:rsidRPr="007571EF">
              <w:rPr>
                <w:szCs w:val="24"/>
              </w:rPr>
              <w:t>Lietuvos Respublikos Vyriausybės programo</w:t>
            </w:r>
            <w:r>
              <w:rPr>
                <w:szCs w:val="24"/>
              </w:rPr>
              <w:t xml:space="preserve">je, patvirtintoje 2024 m. gruodžio </w:t>
            </w:r>
            <w:r>
              <w:rPr>
                <w:szCs w:val="24"/>
                <w:lang w:val="en-US"/>
              </w:rPr>
              <w:t xml:space="preserve">12 d. </w:t>
            </w:r>
            <w:r>
              <w:rPr>
                <w:szCs w:val="24"/>
              </w:rPr>
              <w:t xml:space="preserve">Lietuvos Respublikos Seimo nutarimu Nr. </w:t>
            </w:r>
            <w:r w:rsidRPr="007571EF">
              <w:rPr>
                <w:szCs w:val="24"/>
              </w:rPr>
              <w:t>XV-54</w:t>
            </w:r>
            <w:r>
              <w:rPr>
                <w:szCs w:val="24"/>
              </w:rPr>
              <w:t xml:space="preserve"> išskirtinis dėmesys skiriamas pramonei. Numatyta, kad i</w:t>
            </w:r>
            <w:r w:rsidRPr="007571EF">
              <w:rPr>
                <w:bCs/>
                <w:szCs w:val="24"/>
              </w:rPr>
              <w:t>lgalaik</w:t>
            </w:r>
            <w:r>
              <w:rPr>
                <w:bCs/>
                <w:szCs w:val="24"/>
              </w:rPr>
              <w:t>ė</w:t>
            </w:r>
            <w:r w:rsidRPr="007571EF">
              <w:rPr>
                <w:bCs/>
                <w:szCs w:val="24"/>
              </w:rPr>
              <w:t>s ES investicij</w:t>
            </w:r>
            <w:r>
              <w:rPr>
                <w:bCs/>
                <w:szCs w:val="24"/>
              </w:rPr>
              <w:t>o</w:t>
            </w:r>
            <w:r w:rsidRPr="007571EF">
              <w:rPr>
                <w:bCs/>
                <w:szCs w:val="24"/>
              </w:rPr>
              <w:t>s</w:t>
            </w:r>
            <w:r>
              <w:rPr>
                <w:bCs/>
                <w:szCs w:val="24"/>
              </w:rPr>
              <w:t xml:space="preserve"> turėtų būti nukreiptos Lietuvos</w:t>
            </w:r>
            <w:r w:rsidRPr="007571EF">
              <w:rPr>
                <w:bCs/>
                <w:szCs w:val="24"/>
              </w:rPr>
              <w:t xml:space="preserve"> pramonės, ypač Lietuvai strateginių šakų, plėtrai skatinti.</w:t>
            </w:r>
          </w:p>
        </w:tc>
      </w:tr>
      <w:tr w:rsidR="00466A09" w:rsidRPr="006C4311" w14:paraId="2E733AF9" w14:textId="77777777" w:rsidTr="002842BA">
        <w:tc>
          <w:tcPr>
            <w:tcW w:w="567" w:type="dxa"/>
          </w:tcPr>
          <w:p w14:paraId="12CA9F6B" w14:textId="15AA3C26" w:rsidR="00466A09" w:rsidRPr="006C4311" w:rsidRDefault="00466A09" w:rsidP="002842BA">
            <w:pPr>
              <w:jc w:val="both"/>
              <w:rPr>
                <w:bCs/>
                <w:szCs w:val="24"/>
              </w:rPr>
            </w:pPr>
            <w:r w:rsidRPr="006C4311">
              <w:rPr>
                <w:bCs/>
                <w:szCs w:val="24"/>
              </w:rPr>
              <w:lastRenderedPageBreak/>
              <w:t>2</w:t>
            </w:r>
          </w:p>
        </w:tc>
        <w:tc>
          <w:tcPr>
            <w:tcW w:w="1730" w:type="dxa"/>
            <w:tcBorders>
              <w:bottom w:val="single" w:sz="4" w:space="0" w:color="auto"/>
            </w:tcBorders>
          </w:tcPr>
          <w:p w14:paraId="02527AC8" w14:textId="6068B705" w:rsidR="00466A09" w:rsidRPr="006C4311" w:rsidRDefault="00466A09" w:rsidP="002842BA">
            <w:pPr>
              <w:jc w:val="both"/>
              <w:rPr>
                <w:bCs/>
                <w:szCs w:val="24"/>
              </w:rPr>
            </w:pPr>
            <w:r w:rsidRPr="006C4311">
              <w:rPr>
                <w:bCs/>
                <w:szCs w:val="24"/>
              </w:rPr>
              <w:t>Jonavos raj. sav. meras</w:t>
            </w:r>
          </w:p>
        </w:tc>
        <w:tc>
          <w:tcPr>
            <w:tcW w:w="6487" w:type="dxa"/>
          </w:tcPr>
          <w:p w14:paraId="5C01AB7D" w14:textId="77777777" w:rsidR="00466A09" w:rsidRPr="00466A09" w:rsidRDefault="00466A09" w:rsidP="002842BA">
            <w:pPr>
              <w:jc w:val="both"/>
              <w:rPr>
                <w:bCs/>
                <w:szCs w:val="24"/>
              </w:rPr>
            </w:pPr>
            <w:r w:rsidRPr="00466A09">
              <w:rPr>
                <w:bCs/>
                <w:szCs w:val="24"/>
              </w:rPr>
              <w:t xml:space="preserve">Vertiname, kad Lietuvos Respublikos ekonomikos ir inovacijų ministerija, suprasdama Jonavos rajono savivaldybės problematiką, šios priemonės poreikį, aktualumą ir naudą mūsų savivaldybei, projektų atrankos kriterijuose atskiru prioritetiniu atrankos kriterijumi išskiria „Projekto veiklas numatyta įgyvendinti Jonavos rajono savivaldybės teritorijoje“. </w:t>
            </w:r>
          </w:p>
          <w:p w14:paraId="471CB00E" w14:textId="77777777" w:rsidR="00466A09" w:rsidRPr="00466A09" w:rsidRDefault="00466A09" w:rsidP="002842BA">
            <w:pPr>
              <w:jc w:val="both"/>
              <w:rPr>
                <w:bCs/>
                <w:szCs w:val="24"/>
              </w:rPr>
            </w:pPr>
            <w:r w:rsidRPr="00466A09">
              <w:rPr>
                <w:bCs/>
                <w:szCs w:val="24"/>
              </w:rPr>
              <w:t xml:space="preserve">Kadangi nėra kartu paviešinti už atitiktį prioritetiniams projektų atrankos kriterijams projektams skiriami balai, jų svorio koeficientas, prašome, kad atitikimas prioritetiniam kriterijui „Projekto veiklas numatyta įgyvendinti Jonavos rajono savivaldybės teritorijoje“ būtų vertinamas reikšmingai. Pvz. atitikimas šiam kriterijui galėtų duoti bent 50 proc. maksimalios balų sumos. </w:t>
            </w:r>
          </w:p>
          <w:p w14:paraId="329AD42A" w14:textId="77777777" w:rsidR="00466A09" w:rsidRPr="00466A09" w:rsidRDefault="00466A09" w:rsidP="002842BA">
            <w:pPr>
              <w:jc w:val="both"/>
              <w:rPr>
                <w:bCs/>
                <w:szCs w:val="24"/>
              </w:rPr>
            </w:pPr>
            <w:r w:rsidRPr="00466A09">
              <w:rPr>
                <w:bCs/>
                <w:szCs w:val="24"/>
              </w:rPr>
              <w:t>Siekiant pritraukti investicijas į Jonavos rajono savivaldybę, siūlome kriterijų „Projekto veiklas numatyta įgyvendinti Jonavos rajono savivaldybės teritorijoje“ atitinkantiems pareiškėjams taikyti didesnį finansavimo intensyvumą nei besikuriantiems kitose Kauno apskrities savivaldybėse. Pvz.:</w:t>
            </w:r>
          </w:p>
          <w:tbl>
            <w:tblPr>
              <w:tblW w:w="6287" w:type="dxa"/>
              <w:tblLayout w:type="fixed"/>
              <w:tblCellMar>
                <w:left w:w="0" w:type="dxa"/>
                <w:right w:w="0" w:type="dxa"/>
              </w:tblCellMar>
              <w:tblLook w:val="04A0" w:firstRow="1" w:lastRow="0" w:firstColumn="1" w:lastColumn="0" w:noHBand="0" w:noVBand="1"/>
            </w:tblPr>
            <w:tblGrid>
              <w:gridCol w:w="556"/>
              <w:gridCol w:w="1560"/>
              <w:gridCol w:w="2329"/>
              <w:gridCol w:w="1842"/>
            </w:tblGrid>
            <w:tr w:rsidR="00466A09" w:rsidRPr="00466A09" w14:paraId="66AE9616" w14:textId="77777777" w:rsidTr="006F7B23">
              <w:trPr>
                <w:trHeight w:val="828"/>
              </w:trPr>
              <w:tc>
                <w:tcPr>
                  <w:tcW w:w="55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8CA293E" w14:textId="77777777" w:rsidR="00466A09" w:rsidRPr="00466A09" w:rsidRDefault="00466A09" w:rsidP="002842BA">
                  <w:pPr>
                    <w:jc w:val="both"/>
                    <w:rPr>
                      <w:bCs/>
                      <w:szCs w:val="24"/>
                    </w:rPr>
                  </w:pPr>
                  <w:r w:rsidRPr="00466A09">
                    <w:rPr>
                      <w:bCs/>
                      <w:szCs w:val="24"/>
                    </w:rPr>
                    <w:t>Eil. Nr.</w:t>
                  </w:r>
                </w:p>
              </w:tc>
              <w:tc>
                <w:tcPr>
                  <w:tcW w:w="15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E9D357E" w14:textId="77777777" w:rsidR="00466A09" w:rsidRPr="00466A09" w:rsidRDefault="00466A09" w:rsidP="002842BA">
                  <w:pPr>
                    <w:jc w:val="both"/>
                    <w:rPr>
                      <w:bCs/>
                      <w:szCs w:val="24"/>
                    </w:rPr>
                  </w:pPr>
                  <w:r w:rsidRPr="00466A09">
                    <w:rPr>
                      <w:bCs/>
                      <w:szCs w:val="24"/>
                    </w:rPr>
                    <w:t>Pareiškėjo statusas</w:t>
                  </w:r>
                </w:p>
                <w:p w14:paraId="701A1A48" w14:textId="77777777" w:rsidR="00466A09" w:rsidRPr="00466A09" w:rsidRDefault="00466A09" w:rsidP="002842BA">
                  <w:pPr>
                    <w:jc w:val="both"/>
                    <w:rPr>
                      <w:bCs/>
                      <w:szCs w:val="24"/>
                    </w:rPr>
                  </w:pPr>
                  <w:r w:rsidRPr="00466A09">
                    <w:rPr>
                      <w:bCs/>
                      <w:szCs w:val="24"/>
                    </w:rPr>
                    <w:t> </w:t>
                  </w:r>
                </w:p>
                <w:p w14:paraId="346F3192" w14:textId="77777777" w:rsidR="00466A09" w:rsidRPr="00466A09" w:rsidRDefault="00466A09" w:rsidP="002842BA">
                  <w:pPr>
                    <w:jc w:val="both"/>
                    <w:rPr>
                      <w:bCs/>
                      <w:szCs w:val="24"/>
                    </w:rPr>
                  </w:pPr>
                  <w:r w:rsidRPr="00466A09">
                    <w:rPr>
                      <w:bCs/>
                      <w:szCs w:val="24"/>
                    </w:rPr>
                    <w:t> </w:t>
                  </w:r>
                </w:p>
              </w:tc>
              <w:tc>
                <w:tcPr>
                  <w:tcW w:w="232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8CD79CB" w14:textId="77777777" w:rsidR="00466A09" w:rsidRPr="00466A09" w:rsidRDefault="00466A09" w:rsidP="002842BA">
                  <w:pPr>
                    <w:jc w:val="both"/>
                    <w:rPr>
                      <w:bCs/>
                      <w:szCs w:val="24"/>
                    </w:rPr>
                  </w:pPr>
                  <w:r w:rsidRPr="00466A09">
                    <w:rPr>
                      <w:bCs/>
                      <w:szCs w:val="24"/>
                    </w:rPr>
                    <w:t>Finansuojamoji dalis (Kauno apskritis, išskyrus Jonavos rajono savivaldybę)</w:t>
                  </w:r>
                </w:p>
              </w:tc>
              <w:tc>
                <w:tcPr>
                  <w:tcW w:w="1842" w:type="dxa"/>
                  <w:tcBorders>
                    <w:top w:val="single" w:sz="8" w:space="0" w:color="000000"/>
                    <w:left w:val="nil"/>
                    <w:bottom w:val="single" w:sz="8" w:space="0" w:color="000000"/>
                    <w:right w:val="single" w:sz="8" w:space="0" w:color="000000"/>
                  </w:tcBorders>
                  <w:shd w:val="clear" w:color="auto" w:fill="D9D9D9"/>
                  <w:hideMark/>
                </w:tcPr>
                <w:p w14:paraId="6DC62CB9" w14:textId="77777777" w:rsidR="00466A09" w:rsidRPr="00466A09" w:rsidRDefault="00466A09" w:rsidP="002842BA">
                  <w:pPr>
                    <w:jc w:val="both"/>
                    <w:rPr>
                      <w:bCs/>
                      <w:szCs w:val="24"/>
                    </w:rPr>
                  </w:pPr>
                  <w:r w:rsidRPr="00466A09">
                    <w:rPr>
                      <w:bCs/>
                      <w:szCs w:val="24"/>
                    </w:rPr>
                    <w:t>Finansuojamoji dalis (Jonavos rajono savivaldybė)</w:t>
                  </w:r>
                </w:p>
              </w:tc>
            </w:tr>
            <w:tr w:rsidR="00466A09" w:rsidRPr="00466A09" w14:paraId="00589BB1" w14:textId="77777777" w:rsidTr="006F7B23">
              <w:tc>
                <w:tcPr>
                  <w:tcW w:w="5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C0C4F3" w14:textId="77777777" w:rsidR="00466A09" w:rsidRPr="00466A09" w:rsidRDefault="00466A09" w:rsidP="002842BA">
                  <w:pPr>
                    <w:jc w:val="both"/>
                    <w:rPr>
                      <w:bCs/>
                      <w:szCs w:val="24"/>
                    </w:rPr>
                  </w:pPr>
                  <w:r w:rsidRPr="00466A09">
                    <w:rPr>
                      <w:bCs/>
                      <w:szCs w:val="24"/>
                    </w:rPr>
                    <w:t>1.</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14:paraId="48507AE3" w14:textId="77777777" w:rsidR="00466A09" w:rsidRPr="00466A09" w:rsidRDefault="00466A09" w:rsidP="002842BA">
                  <w:pPr>
                    <w:jc w:val="both"/>
                    <w:rPr>
                      <w:bCs/>
                      <w:szCs w:val="24"/>
                    </w:rPr>
                  </w:pPr>
                  <w:r w:rsidRPr="00466A09">
                    <w:rPr>
                      <w:bCs/>
                      <w:szCs w:val="24"/>
                    </w:rPr>
                    <w:t>Labai maža ir maža įmonė</w:t>
                  </w:r>
                </w:p>
              </w:tc>
              <w:tc>
                <w:tcPr>
                  <w:tcW w:w="2329" w:type="dxa"/>
                  <w:tcBorders>
                    <w:top w:val="nil"/>
                    <w:left w:val="nil"/>
                    <w:bottom w:val="single" w:sz="8" w:space="0" w:color="000000"/>
                    <w:right w:val="single" w:sz="8" w:space="0" w:color="000000"/>
                  </w:tcBorders>
                  <w:tcMar>
                    <w:top w:w="0" w:type="dxa"/>
                    <w:left w:w="108" w:type="dxa"/>
                    <w:bottom w:w="0" w:type="dxa"/>
                    <w:right w:w="108" w:type="dxa"/>
                  </w:tcMar>
                  <w:hideMark/>
                </w:tcPr>
                <w:p w14:paraId="528743C9" w14:textId="77777777" w:rsidR="00466A09" w:rsidRPr="00466A09" w:rsidRDefault="00466A09" w:rsidP="002842BA">
                  <w:pPr>
                    <w:jc w:val="both"/>
                    <w:rPr>
                      <w:bCs/>
                      <w:szCs w:val="24"/>
                    </w:rPr>
                  </w:pPr>
                  <w:r w:rsidRPr="00466A09">
                    <w:rPr>
                      <w:bCs/>
                      <w:szCs w:val="24"/>
                    </w:rPr>
                    <w:t>iki 60 proc.</w:t>
                  </w:r>
                </w:p>
              </w:tc>
              <w:tc>
                <w:tcPr>
                  <w:tcW w:w="1842" w:type="dxa"/>
                  <w:tcBorders>
                    <w:top w:val="nil"/>
                    <w:left w:val="nil"/>
                    <w:bottom w:val="single" w:sz="8" w:space="0" w:color="000000"/>
                    <w:right w:val="single" w:sz="8" w:space="0" w:color="000000"/>
                  </w:tcBorders>
                  <w:hideMark/>
                </w:tcPr>
                <w:p w14:paraId="2A405062" w14:textId="77777777" w:rsidR="00466A09" w:rsidRPr="00466A09" w:rsidRDefault="00466A09" w:rsidP="002842BA">
                  <w:pPr>
                    <w:jc w:val="both"/>
                    <w:rPr>
                      <w:bCs/>
                      <w:szCs w:val="24"/>
                    </w:rPr>
                  </w:pPr>
                  <w:r w:rsidRPr="00466A09">
                    <w:rPr>
                      <w:bCs/>
                      <w:szCs w:val="24"/>
                    </w:rPr>
                    <w:t xml:space="preserve">iki </w:t>
                  </w:r>
                  <w:r w:rsidRPr="00466A09">
                    <w:rPr>
                      <w:bCs/>
                      <w:szCs w:val="24"/>
                      <w:lang w:val="en-US"/>
                    </w:rPr>
                    <w:t>8</w:t>
                  </w:r>
                  <w:r w:rsidRPr="00466A09">
                    <w:rPr>
                      <w:bCs/>
                      <w:szCs w:val="24"/>
                    </w:rPr>
                    <w:t>0 proc.</w:t>
                  </w:r>
                </w:p>
              </w:tc>
            </w:tr>
            <w:tr w:rsidR="00466A09" w:rsidRPr="00466A09" w14:paraId="6CAA40D1" w14:textId="77777777" w:rsidTr="006F7B23">
              <w:tc>
                <w:tcPr>
                  <w:tcW w:w="5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5991D7" w14:textId="77777777" w:rsidR="00466A09" w:rsidRPr="00466A09" w:rsidRDefault="00466A09" w:rsidP="002842BA">
                  <w:pPr>
                    <w:jc w:val="both"/>
                    <w:rPr>
                      <w:bCs/>
                      <w:szCs w:val="24"/>
                    </w:rPr>
                  </w:pPr>
                  <w:r w:rsidRPr="00466A09">
                    <w:rPr>
                      <w:bCs/>
                      <w:szCs w:val="24"/>
                    </w:rPr>
                    <w:t>2.</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14:paraId="213CDC52" w14:textId="77777777" w:rsidR="00466A09" w:rsidRPr="00466A09" w:rsidRDefault="00466A09" w:rsidP="002842BA">
                  <w:pPr>
                    <w:jc w:val="both"/>
                    <w:rPr>
                      <w:bCs/>
                      <w:szCs w:val="24"/>
                    </w:rPr>
                  </w:pPr>
                  <w:r w:rsidRPr="00466A09">
                    <w:rPr>
                      <w:bCs/>
                      <w:szCs w:val="24"/>
                    </w:rPr>
                    <w:t>Vidutinė įmonė</w:t>
                  </w:r>
                </w:p>
              </w:tc>
              <w:tc>
                <w:tcPr>
                  <w:tcW w:w="2329" w:type="dxa"/>
                  <w:tcBorders>
                    <w:top w:val="nil"/>
                    <w:left w:val="nil"/>
                    <w:bottom w:val="single" w:sz="8" w:space="0" w:color="000000"/>
                    <w:right w:val="single" w:sz="8" w:space="0" w:color="000000"/>
                  </w:tcBorders>
                  <w:tcMar>
                    <w:top w:w="0" w:type="dxa"/>
                    <w:left w:w="108" w:type="dxa"/>
                    <w:bottom w:w="0" w:type="dxa"/>
                    <w:right w:w="108" w:type="dxa"/>
                  </w:tcMar>
                  <w:hideMark/>
                </w:tcPr>
                <w:p w14:paraId="36DCF747" w14:textId="77777777" w:rsidR="00466A09" w:rsidRPr="00466A09" w:rsidRDefault="00466A09" w:rsidP="002842BA">
                  <w:pPr>
                    <w:jc w:val="both"/>
                    <w:rPr>
                      <w:bCs/>
                      <w:szCs w:val="24"/>
                    </w:rPr>
                  </w:pPr>
                  <w:r w:rsidRPr="00466A09">
                    <w:rPr>
                      <w:bCs/>
                      <w:szCs w:val="24"/>
                    </w:rPr>
                    <w:t>iki 50 proc.</w:t>
                  </w:r>
                </w:p>
              </w:tc>
              <w:tc>
                <w:tcPr>
                  <w:tcW w:w="1842" w:type="dxa"/>
                  <w:tcBorders>
                    <w:top w:val="nil"/>
                    <w:left w:val="nil"/>
                    <w:bottom w:val="single" w:sz="8" w:space="0" w:color="000000"/>
                    <w:right w:val="single" w:sz="8" w:space="0" w:color="000000"/>
                  </w:tcBorders>
                  <w:hideMark/>
                </w:tcPr>
                <w:p w14:paraId="56072F31" w14:textId="77777777" w:rsidR="00466A09" w:rsidRPr="00466A09" w:rsidRDefault="00466A09" w:rsidP="002842BA">
                  <w:pPr>
                    <w:jc w:val="both"/>
                    <w:rPr>
                      <w:bCs/>
                      <w:szCs w:val="24"/>
                    </w:rPr>
                  </w:pPr>
                  <w:r w:rsidRPr="00466A09">
                    <w:rPr>
                      <w:bCs/>
                      <w:szCs w:val="24"/>
                    </w:rPr>
                    <w:t>iki 70 proc.</w:t>
                  </w:r>
                </w:p>
              </w:tc>
            </w:tr>
          </w:tbl>
          <w:p w14:paraId="313CF2E5" w14:textId="77777777" w:rsidR="00466A09" w:rsidRPr="006C4311" w:rsidRDefault="00466A09" w:rsidP="002842BA">
            <w:pPr>
              <w:jc w:val="both"/>
              <w:rPr>
                <w:bCs/>
                <w:szCs w:val="24"/>
              </w:rPr>
            </w:pPr>
          </w:p>
        </w:tc>
        <w:tc>
          <w:tcPr>
            <w:tcW w:w="5704" w:type="dxa"/>
          </w:tcPr>
          <w:p w14:paraId="1359EF98" w14:textId="77BF2FA7" w:rsidR="007571EF" w:rsidRPr="001C48EF" w:rsidRDefault="007571EF" w:rsidP="002842BA">
            <w:pPr>
              <w:jc w:val="both"/>
              <w:rPr>
                <w:b/>
                <w:szCs w:val="24"/>
              </w:rPr>
            </w:pPr>
            <w:r w:rsidRPr="001C48EF">
              <w:rPr>
                <w:b/>
                <w:szCs w:val="24"/>
              </w:rPr>
              <w:t>Paaiškinta.</w:t>
            </w:r>
          </w:p>
          <w:p w14:paraId="0A3F036E" w14:textId="7752D4AD" w:rsidR="001C48EF" w:rsidRPr="001C48EF" w:rsidRDefault="007571EF" w:rsidP="001C48EF">
            <w:pPr>
              <w:jc w:val="both"/>
              <w:rPr>
                <w:bCs/>
                <w:szCs w:val="24"/>
              </w:rPr>
            </w:pPr>
            <w:r w:rsidRPr="001C48EF">
              <w:rPr>
                <w:bCs/>
                <w:szCs w:val="24"/>
              </w:rPr>
              <w:t xml:space="preserve">Vadovaujantis </w:t>
            </w:r>
            <w:r w:rsidR="001C48EF" w:rsidRPr="001C48EF">
              <w:rPr>
                <w:szCs w:val="24"/>
              </w:rPr>
              <w:t>2021–2027 metų Europos Sąjungos fondų investicijų programos ir Ekonomikos gaivinimo ir atsparumo didinimo plano „Naujos kartos Lietuva“ administravimo taisyklėmis,</w:t>
            </w:r>
            <w:r w:rsidR="001C48EF" w:rsidRPr="001C48EF">
              <w:rPr>
                <w:bCs/>
                <w:szCs w:val="24"/>
              </w:rPr>
              <w:t xml:space="preserve"> patvirtintomis </w:t>
            </w:r>
            <w:r w:rsidR="001C48EF" w:rsidRPr="001C48EF">
              <w:rPr>
                <w:szCs w:val="24"/>
              </w:rPr>
              <w:t>Lietuvos Respublikos finansų ministro 2022 m. birželio 22 d. įsakymu Nr. 1K-237 „Dėl 2021–2027 metų Europos Sąjungos fondų investicijų programos ir Ekonomikos gaivinimo ir atsparumo didinimo plano „Naujos kartos Lietuva“ įgyvendinimo“ (toliau – Taisyklės), p</w:t>
            </w:r>
            <w:r w:rsidRPr="001C48EF">
              <w:rPr>
                <w:bCs/>
                <w:szCs w:val="24"/>
              </w:rPr>
              <w:t xml:space="preserve">rojektų atrankos kriterijams </w:t>
            </w:r>
            <w:r w:rsidR="001C48EF" w:rsidRPr="001C48EF">
              <w:rPr>
                <w:bCs/>
                <w:szCs w:val="24"/>
              </w:rPr>
              <w:t xml:space="preserve">nustatomi pagal Taisyklių </w:t>
            </w:r>
            <w:r w:rsidR="001C48EF" w:rsidRPr="001C48EF">
              <w:rPr>
                <w:bCs/>
                <w:szCs w:val="24"/>
                <w:lang w:val="en-US"/>
              </w:rPr>
              <w:t xml:space="preserve">6 </w:t>
            </w:r>
            <w:proofErr w:type="spellStart"/>
            <w:r w:rsidR="001C48EF" w:rsidRPr="001C48EF">
              <w:rPr>
                <w:bCs/>
                <w:szCs w:val="24"/>
                <w:lang w:val="en-US"/>
              </w:rPr>
              <w:t>priede</w:t>
            </w:r>
            <w:proofErr w:type="spellEnd"/>
            <w:r w:rsidR="001C48EF" w:rsidRPr="001C48EF">
              <w:rPr>
                <w:bCs/>
                <w:szCs w:val="24"/>
                <w:lang w:val="en-US"/>
              </w:rPr>
              <w:t xml:space="preserve"> </w:t>
            </w:r>
            <w:r w:rsidR="001C48EF" w:rsidRPr="001C48EF">
              <w:rPr>
                <w:bCs/>
                <w:szCs w:val="24"/>
              </w:rPr>
              <w:t xml:space="preserve">patvirtintą </w:t>
            </w:r>
            <w:r w:rsidR="001C48EF" w:rsidRPr="001C48EF">
              <w:rPr>
                <w:szCs w:val="24"/>
              </w:rPr>
              <w:t>Pasiūlymo dėl projektų specialiųjų ir prioritetinių atrankos kriterijų nustatymo ir (arba) keitimo bei vertinimo metodikos</w:t>
            </w:r>
            <w:r w:rsidR="001C48EF" w:rsidRPr="001C48EF">
              <w:rPr>
                <w:bCs/>
                <w:szCs w:val="24"/>
              </w:rPr>
              <w:t xml:space="preserve"> formą, o konkrečios projektų finansavimo sąlygos nustatomos projektų finansavimo sąlygų apraše (žr. Taisyklių </w:t>
            </w:r>
            <w:r w:rsidR="001C48EF" w:rsidRPr="001C48EF">
              <w:rPr>
                <w:bCs/>
                <w:szCs w:val="24"/>
                <w:lang w:val="en-US"/>
              </w:rPr>
              <w:t>2 pried</w:t>
            </w:r>
            <w:r w:rsidR="001C48EF" w:rsidRPr="001C48EF">
              <w:rPr>
                <w:bCs/>
                <w:szCs w:val="24"/>
              </w:rPr>
              <w:t>ą). Projektų atrankos kriterijams skiriami balai ir jų svorio koeficientai, taip pat projektų finansuojamoji dalis yra nurodomi projektų finansavimo sąlygų apraše, todėl rengiant projektų finansavimo sąlygų aprašą įvertinsime Jūsų pateiktas pastabas.</w:t>
            </w:r>
          </w:p>
        </w:tc>
      </w:tr>
      <w:tr w:rsidR="00C757DC" w:rsidRPr="006C4311" w14:paraId="24C685DB" w14:textId="77777777" w:rsidTr="008412EA">
        <w:tc>
          <w:tcPr>
            <w:tcW w:w="567" w:type="dxa"/>
          </w:tcPr>
          <w:p w14:paraId="3F0FFE8E" w14:textId="57A0A693" w:rsidR="00C757DC" w:rsidRPr="00254161" w:rsidRDefault="00C757DC" w:rsidP="002842BA">
            <w:pPr>
              <w:jc w:val="both"/>
              <w:rPr>
                <w:bCs/>
                <w:szCs w:val="24"/>
                <w:lang w:val="en-US"/>
              </w:rPr>
            </w:pPr>
            <w:r>
              <w:rPr>
                <w:bCs/>
                <w:szCs w:val="24"/>
                <w:lang w:val="en-US"/>
              </w:rPr>
              <w:lastRenderedPageBreak/>
              <w:t>3</w:t>
            </w:r>
          </w:p>
        </w:tc>
        <w:tc>
          <w:tcPr>
            <w:tcW w:w="1730" w:type="dxa"/>
            <w:vMerge w:val="restart"/>
          </w:tcPr>
          <w:p w14:paraId="63A55A89" w14:textId="22F2B039" w:rsidR="00C757DC" w:rsidRPr="006C4311" w:rsidRDefault="00C757DC" w:rsidP="002842BA">
            <w:pPr>
              <w:jc w:val="both"/>
              <w:rPr>
                <w:bCs/>
                <w:szCs w:val="24"/>
              </w:rPr>
            </w:pPr>
            <w:r w:rsidRPr="00466A09">
              <w:rPr>
                <w:b/>
                <w:bCs/>
                <w:szCs w:val="24"/>
              </w:rPr>
              <w:t>„Investuok Lietuvoje“</w:t>
            </w:r>
          </w:p>
        </w:tc>
        <w:tc>
          <w:tcPr>
            <w:tcW w:w="6487" w:type="dxa"/>
          </w:tcPr>
          <w:p w14:paraId="5A3EE072" w14:textId="77777777" w:rsidR="00C757DC" w:rsidRPr="00466A09" w:rsidRDefault="00C757DC" w:rsidP="002842BA">
            <w:pPr>
              <w:jc w:val="both"/>
              <w:rPr>
                <w:bCs/>
                <w:i/>
                <w:iCs/>
                <w:szCs w:val="24"/>
              </w:rPr>
            </w:pPr>
            <w:r w:rsidRPr="00466A09">
              <w:rPr>
                <w:bCs/>
                <w:i/>
                <w:iCs/>
                <w:szCs w:val="24"/>
              </w:rPr>
              <w:t xml:space="preserve">1 SPECIALUSIS PROJEKTŲ ATRANKOS KRITERIJUS. Reikalaujama turėti ne mažesnes nei 145 tūkst. Eur (vidutinei įmonei) ar 300 tūkst. Eur (labai mažai ar mažai įmonei) pajamas iš savo pagamintos produkcijos </w:t>
            </w:r>
            <w:r w:rsidRPr="00466A09">
              <w:rPr>
                <w:b/>
                <w:bCs/>
                <w:i/>
                <w:iCs/>
                <w:szCs w:val="24"/>
              </w:rPr>
              <w:t>kiekvienais metais</w:t>
            </w:r>
            <w:r w:rsidRPr="00466A09">
              <w:rPr>
                <w:bCs/>
                <w:i/>
                <w:iCs/>
                <w:szCs w:val="24"/>
              </w:rPr>
              <w:t xml:space="preserve"> per paskutinius tris metus. </w:t>
            </w:r>
          </w:p>
          <w:p w14:paraId="39356B5A" w14:textId="77777777" w:rsidR="00C757DC" w:rsidRPr="00466A09" w:rsidRDefault="00C757DC" w:rsidP="002842BA">
            <w:pPr>
              <w:jc w:val="both"/>
              <w:rPr>
                <w:bCs/>
                <w:szCs w:val="24"/>
              </w:rPr>
            </w:pPr>
            <w:r w:rsidRPr="00466A09">
              <w:rPr>
                <w:bCs/>
                <w:szCs w:val="24"/>
              </w:rPr>
              <w:t xml:space="preserve">Toks reikalavimas galimai užkerta kelią paraiškas teikti inovatyvioms įmonėms, kurios turi išvystę inovatyvias technologijas, prie žiedinės ekonomikos prisidedančius sprendimus, tačiau dar nėra pasiekę </w:t>
            </w:r>
            <w:proofErr w:type="spellStart"/>
            <w:r w:rsidRPr="00466A09">
              <w:rPr>
                <w:bCs/>
                <w:szCs w:val="24"/>
              </w:rPr>
              <w:t>komercializacijos</w:t>
            </w:r>
            <w:proofErr w:type="spellEnd"/>
            <w:r w:rsidRPr="00466A09">
              <w:rPr>
                <w:bCs/>
                <w:szCs w:val="24"/>
              </w:rPr>
              <w:t xml:space="preserve"> arba kurių </w:t>
            </w:r>
            <w:proofErr w:type="spellStart"/>
            <w:r w:rsidRPr="00466A09">
              <w:rPr>
                <w:bCs/>
                <w:szCs w:val="24"/>
              </w:rPr>
              <w:t>komercializacija</w:t>
            </w:r>
            <w:proofErr w:type="spellEnd"/>
            <w:r w:rsidRPr="00466A09">
              <w:rPr>
                <w:bCs/>
                <w:szCs w:val="24"/>
              </w:rPr>
              <w:t xml:space="preserve"> yra tik prasidėjusi ir jos dar nėra pasiekę numatyto pajamų dydžio. Pažymėtina, kad pajamų dydis nebūtinai parodo finansinį pajėgumą / įmonės potencialą, ypač kai tai yra sparčiai augančios įmonės, kurios turi išvystę naujas inovatyvias technologijas. Dažnu atveju tokios naujų technologijų įmonės, dar negeneruoja pajamų ar tik jas pradėjo generuoti, tačiau plėtrai yra pritraukę kapitalą plėtrai (pvz., </w:t>
            </w:r>
            <w:proofErr w:type="spellStart"/>
            <w:r w:rsidRPr="00466A09">
              <w:rPr>
                <w:bCs/>
                <w:szCs w:val="24"/>
              </w:rPr>
              <w:t>venture</w:t>
            </w:r>
            <w:proofErr w:type="spellEnd"/>
            <w:r w:rsidRPr="00466A09">
              <w:rPr>
                <w:bCs/>
                <w:szCs w:val="24"/>
              </w:rPr>
              <w:t xml:space="preserve"> </w:t>
            </w:r>
            <w:proofErr w:type="spellStart"/>
            <w:r w:rsidRPr="00466A09">
              <w:rPr>
                <w:bCs/>
                <w:szCs w:val="24"/>
              </w:rPr>
              <w:t>capital</w:t>
            </w:r>
            <w:proofErr w:type="spellEnd"/>
            <w:r w:rsidRPr="00466A09">
              <w:rPr>
                <w:bCs/>
                <w:szCs w:val="24"/>
              </w:rPr>
              <w:t xml:space="preserve">, </w:t>
            </w:r>
            <w:proofErr w:type="spellStart"/>
            <w:r w:rsidRPr="00466A09">
              <w:rPr>
                <w:bCs/>
                <w:szCs w:val="24"/>
              </w:rPr>
              <w:t>private</w:t>
            </w:r>
            <w:proofErr w:type="spellEnd"/>
            <w:r w:rsidRPr="00466A09">
              <w:rPr>
                <w:bCs/>
                <w:szCs w:val="24"/>
              </w:rPr>
              <w:t xml:space="preserve"> </w:t>
            </w:r>
            <w:proofErr w:type="spellStart"/>
            <w:r w:rsidRPr="00466A09">
              <w:rPr>
                <w:bCs/>
                <w:szCs w:val="24"/>
              </w:rPr>
              <w:t>equity</w:t>
            </w:r>
            <w:proofErr w:type="spellEnd"/>
            <w:r w:rsidRPr="00466A09">
              <w:rPr>
                <w:bCs/>
                <w:szCs w:val="24"/>
              </w:rPr>
              <w:t xml:space="preserve"> </w:t>
            </w:r>
            <w:proofErr w:type="spellStart"/>
            <w:r w:rsidRPr="00466A09">
              <w:rPr>
                <w:bCs/>
                <w:szCs w:val="24"/>
              </w:rPr>
              <w:t>capital</w:t>
            </w:r>
            <w:proofErr w:type="spellEnd"/>
            <w:r w:rsidRPr="00466A09">
              <w:rPr>
                <w:bCs/>
                <w:szCs w:val="24"/>
              </w:rPr>
              <w:t>). Šis kapitalas naudojamas plėtrai - taigi jos turi išteklių (nuosavą įnašą) vystyti projektą</w:t>
            </w:r>
          </w:p>
          <w:p w14:paraId="516431CA" w14:textId="77777777" w:rsidR="00C757DC" w:rsidRPr="00466A09" w:rsidRDefault="00C757DC" w:rsidP="002842BA">
            <w:pPr>
              <w:jc w:val="both"/>
              <w:rPr>
                <w:bCs/>
                <w:szCs w:val="24"/>
              </w:rPr>
            </w:pPr>
            <w:proofErr w:type="spellStart"/>
            <w:r w:rsidRPr="00466A09">
              <w:rPr>
                <w:bCs/>
                <w:szCs w:val="24"/>
              </w:rPr>
              <w:t>Startuoliai</w:t>
            </w:r>
            <w:proofErr w:type="spellEnd"/>
            <w:r w:rsidRPr="00466A09">
              <w:rPr>
                <w:bCs/>
                <w:szCs w:val="24"/>
              </w:rPr>
              <w:t xml:space="preserve"> dažnai turi kelių metų startinį periodą, kai jų pagrindinis tikslas yra ne pelnas, o augimas, inovacijų vystymas ir produktų rinkodara. Pirmieji metai dažnai skiriami produktų kūrimui, testavimui ir rinkos įvedimui. Pajamos gali pradėti augti tik vėlesniuose etapuose, kai įmonė pasiekia platesnę rinką arba pradeda komercializuoti savo inovacijas.</w:t>
            </w:r>
          </w:p>
          <w:p w14:paraId="0BD6E0E9" w14:textId="77777777" w:rsidR="00C757DC" w:rsidRPr="00466A09" w:rsidRDefault="00C757DC" w:rsidP="002842BA">
            <w:pPr>
              <w:jc w:val="both"/>
              <w:rPr>
                <w:bCs/>
                <w:szCs w:val="24"/>
              </w:rPr>
            </w:pPr>
            <w:r w:rsidRPr="00466A09">
              <w:rPr>
                <w:bCs/>
                <w:szCs w:val="24"/>
              </w:rPr>
              <w:t xml:space="preserve">Siūlome apsvarstyti galimybę remti jaunas inovatyvias įmones, kurios turi išvystę naujas inovatyvias pažangias technologijas, tačiau dar nepasiekę pajamų dydžio. </w:t>
            </w:r>
          </w:p>
          <w:p w14:paraId="4D7F0BE8" w14:textId="77777777" w:rsidR="00C757DC" w:rsidRPr="00466A09" w:rsidRDefault="00C757DC" w:rsidP="002842BA">
            <w:pPr>
              <w:jc w:val="both"/>
              <w:rPr>
                <w:bCs/>
                <w:szCs w:val="24"/>
              </w:rPr>
            </w:pPr>
            <w:r w:rsidRPr="00466A09">
              <w:rPr>
                <w:bCs/>
                <w:szCs w:val="24"/>
              </w:rPr>
              <w:t xml:space="preserve">Jeigu visgi būtų paliktas pajamų reikalavimas, siūlome vertinti, ar pajamų dydis pasiektas bent vieneriais per paskutinius trejus metus, kadangi pajamų dydis gali svyruoti, ypač jaunų inovatyvių įmonių atveju, ir priklauso nuo daugelio veiksnių. </w:t>
            </w:r>
          </w:p>
          <w:p w14:paraId="598F2883" w14:textId="77777777" w:rsidR="00C757DC" w:rsidRPr="006C4311" w:rsidRDefault="00C757DC" w:rsidP="002842BA">
            <w:pPr>
              <w:jc w:val="both"/>
              <w:rPr>
                <w:bCs/>
                <w:szCs w:val="24"/>
              </w:rPr>
            </w:pPr>
          </w:p>
        </w:tc>
        <w:tc>
          <w:tcPr>
            <w:tcW w:w="5704" w:type="dxa"/>
          </w:tcPr>
          <w:p w14:paraId="2C29138A" w14:textId="4FD70E2D" w:rsidR="00C757DC" w:rsidRPr="00CA28DB" w:rsidRDefault="00C757DC" w:rsidP="002842BA">
            <w:pPr>
              <w:jc w:val="both"/>
              <w:rPr>
                <w:bCs/>
                <w:szCs w:val="24"/>
              </w:rPr>
            </w:pPr>
            <w:r w:rsidRPr="00CA28DB">
              <w:rPr>
                <w:b/>
                <w:szCs w:val="24"/>
              </w:rPr>
              <w:t>Neatsižvelgta</w:t>
            </w:r>
            <w:r w:rsidRPr="00CA28DB">
              <w:rPr>
                <w:bCs/>
                <w:szCs w:val="24"/>
              </w:rPr>
              <w:t>.</w:t>
            </w:r>
          </w:p>
          <w:p w14:paraId="64121543" w14:textId="30D33F42" w:rsidR="00C757DC" w:rsidRPr="00CA28DB" w:rsidRDefault="00C757DC" w:rsidP="002842BA">
            <w:pPr>
              <w:jc w:val="both"/>
              <w:rPr>
                <w:bCs/>
                <w:szCs w:val="24"/>
              </w:rPr>
            </w:pPr>
            <w:r>
              <w:rPr>
                <w:bCs/>
                <w:szCs w:val="24"/>
              </w:rPr>
              <w:t xml:space="preserve">Atkreiptinas dėmesys, kad </w:t>
            </w:r>
            <w:r w:rsidRPr="006C4311">
              <w:rPr>
                <w:bCs/>
                <w:szCs w:val="24"/>
              </w:rPr>
              <w:t>Teisingos pertvarkos fondo investicijomis siekiama mažinti dėl perėjimo prie klimatui neutralios ekonomikos kylančias pasekmes. „</w:t>
            </w:r>
            <w:r w:rsidRPr="006C4311">
              <w:rPr>
                <w:szCs w:val="24"/>
              </w:rPr>
              <w:t xml:space="preserve">Užsienio ir vietos investuotojų su dideliu darbo vietų kūrimo potencialu pritraukimo Kauno apskr.“ </w:t>
            </w:r>
            <w:proofErr w:type="spellStart"/>
            <w:r w:rsidRPr="006C4311">
              <w:rPr>
                <w:szCs w:val="24"/>
              </w:rPr>
              <w:t>poveikle</w:t>
            </w:r>
            <w:proofErr w:type="spellEnd"/>
            <w:r w:rsidRPr="006C4311">
              <w:rPr>
                <w:szCs w:val="24"/>
              </w:rPr>
              <w:t xml:space="preserve"> siekiama mažinti regiono priklausomybę nuo vieno darbdavio (AB Achema).</w:t>
            </w:r>
            <w:r w:rsidRPr="00CA28DB">
              <w:rPr>
                <w:bCs/>
                <w:szCs w:val="24"/>
              </w:rPr>
              <w:t xml:space="preserve"> </w:t>
            </w:r>
            <w:r>
              <w:rPr>
                <w:bCs/>
                <w:szCs w:val="24"/>
              </w:rPr>
              <w:t>Todėl s</w:t>
            </w:r>
            <w:r w:rsidRPr="00CA28DB">
              <w:rPr>
                <w:bCs/>
                <w:szCs w:val="24"/>
              </w:rPr>
              <w:t>iekiama, kad projektus įgyvendintų stiprios įmonės, kurios ne tik sukurtų, bet ir išlaikytų sukurtas darbo vietas.</w:t>
            </w:r>
          </w:p>
        </w:tc>
      </w:tr>
      <w:tr w:rsidR="00C757DC" w:rsidRPr="006C4311" w14:paraId="1D45C386" w14:textId="77777777" w:rsidTr="008412EA">
        <w:tc>
          <w:tcPr>
            <w:tcW w:w="567" w:type="dxa"/>
          </w:tcPr>
          <w:p w14:paraId="3CDAC890" w14:textId="492341C0" w:rsidR="00C757DC" w:rsidRPr="006C4311" w:rsidRDefault="00C757DC" w:rsidP="002842BA">
            <w:pPr>
              <w:jc w:val="both"/>
              <w:rPr>
                <w:bCs/>
                <w:szCs w:val="24"/>
              </w:rPr>
            </w:pPr>
            <w:r>
              <w:rPr>
                <w:bCs/>
                <w:szCs w:val="24"/>
              </w:rPr>
              <w:t>4</w:t>
            </w:r>
          </w:p>
        </w:tc>
        <w:tc>
          <w:tcPr>
            <w:tcW w:w="1730" w:type="dxa"/>
            <w:vMerge/>
          </w:tcPr>
          <w:p w14:paraId="304D04D8" w14:textId="77777777" w:rsidR="00C757DC" w:rsidRPr="006C4311" w:rsidRDefault="00C757DC" w:rsidP="002842BA">
            <w:pPr>
              <w:jc w:val="both"/>
              <w:rPr>
                <w:b/>
                <w:bCs/>
                <w:szCs w:val="24"/>
              </w:rPr>
            </w:pPr>
          </w:p>
        </w:tc>
        <w:tc>
          <w:tcPr>
            <w:tcW w:w="6487" w:type="dxa"/>
          </w:tcPr>
          <w:p w14:paraId="26F3564E" w14:textId="77777777"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i/>
                <w:iCs/>
                <w:sz w:val="24"/>
                <w:szCs w:val="24"/>
              </w:rPr>
              <w:t xml:space="preserve">1 SPECIALUSIS PROJEKTŲ ATRANKOS KRITERIJUS. Pareiškėjas turi būti </w:t>
            </w:r>
            <w:r w:rsidRPr="006C4311">
              <w:rPr>
                <w:rStyle w:val="cf01"/>
                <w:rFonts w:ascii="Times New Roman" w:hAnsi="Times New Roman" w:cs="Times New Roman"/>
                <w:b/>
                <w:bCs/>
                <w:i/>
                <w:iCs/>
                <w:sz w:val="24"/>
                <w:szCs w:val="24"/>
              </w:rPr>
              <w:t>pramonės įmonė</w:t>
            </w:r>
            <w:r w:rsidRPr="006C4311">
              <w:rPr>
                <w:rStyle w:val="cf01"/>
                <w:rFonts w:ascii="Times New Roman" w:hAnsi="Times New Roman" w:cs="Times New Roman"/>
                <w:i/>
                <w:iCs/>
                <w:sz w:val="24"/>
                <w:szCs w:val="24"/>
              </w:rPr>
              <w:t xml:space="preserve">. Pramonės įmonė </w:t>
            </w:r>
            <w:r w:rsidRPr="006C4311">
              <w:rPr>
                <w:rStyle w:val="cf01"/>
                <w:rFonts w:ascii="Times New Roman" w:hAnsi="Times New Roman" w:cs="Times New Roman"/>
                <w:i/>
                <w:iCs/>
                <w:sz w:val="24"/>
                <w:szCs w:val="24"/>
              </w:rPr>
              <w:lastRenderedPageBreak/>
              <w:t>suprantama kaip įmonė vykdanti pramonės ekonominę veiklą priskiriamą EVRK B sekcijai</w:t>
            </w:r>
            <w:r w:rsidRPr="006C4311">
              <w:rPr>
                <w:i/>
                <w:iCs/>
              </w:rPr>
              <w:t xml:space="preserve"> “</w:t>
            </w:r>
            <w:r w:rsidRPr="006C4311">
              <w:rPr>
                <w:rStyle w:val="cf01"/>
                <w:rFonts w:ascii="Times New Roman" w:hAnsi="Times New Roman" w:cs="Times New Roman"/>
                <w:i/>
                <w:iCs/>
                <w:sz w:val="24"/>
                <w:szCs w:val="24"/>
              </w:rPr>
              <w:t>Kasyba ir karjerų eksploatavimas“ arba C sekcijai „Apdirbamoji gamyba“ (su tam tikromis išimtimis).</w:t>
            </w:r>
          </w:p>
          <w:p w14:paraId="6042A6D5" w14:textId="77777777" w:rsidR="00C757DC" w:rsidRPr="006C4311" w:rsidRDefault="00C757DC" w:rsidP="002842BA">
            <w:pPr>
              <w:pStyle w:val="pf0"/>
              <w:jc w:val="both"/>
              <w:rPr>
                <w:rFonts w:eastAsiaTheme="minorHAnsi"/>
              </w:rPr>
            </w:pPr>
            <w:r w:rsidRPr="006C4311">
              <w:t>Atkreipiame dėmesį, jog į pramonės įmonės sampratą nėra įtrauktas atliekų perdirbimas, kai atliekos perdirbamos į antrines žaliavas (pvz. Nace 38.3). Atliekų perdirbimas, kai gaunamos antrinės žaliavos gamybai, yra svarbus tiek ekologiniu, tiek ekonominiu požiūriu. Atliekų perdirbimas ir antrinių žaliavų naudojimas gamyboje atitinka tvarios plėtros principus ir prisideda prie aplinkos apsaugos, ekonominio efektyvumo ir socialinės atsakomybės, kurios yra esminės tvarumo koncepcijos dalys.</w:t>
            </w:r>
          </w:p>
          <w:p w14:paraId="15BFA5B8" w14:textId="65337C36" w:rsidR="00C757DC" w:rsidRPr="006C4311" w:rsidRDefault="00C757DC" w:rsidP="002842BA">
            <w:pPr>
              <w:pStyle w:val="pf0"/>
              <w:jc w:val="both"/>
            </w:pPr>
            <w:r w:rsidRPr="006C4311">
              <w:rPr>
                <w:rStyle w:val="cf01"/>
                <w:rFonts w:ascii="Times New Roman" w:hAnsi="Times New Roman" w:cs="Times New Roman"/>
                <w:sz w:val="24"/>
                <w:szCs w:val="24"/>
              </w:rPr>
              <w:t>Atsižvelgiant, jog i) priemonė yra orientuota į tvarių darbo vietų kūrimą ii) vienas iš specialiųjų atrankos kriterijų yra veiklų atitiktis aplinkos atžvilgiu tvarios investicijos sąvokai iii) atliekų perdirbimas į antrines žaliavas ar produktus prisideda prie žiedinės ekonomikos skatinimo, tvarumo koncepcijos įgyvendinimo iv) kriterijų apraše pramonės įmonei jau priskiriama ne tik C sekcijai priklausančios veiklos, tačiau ir kitos B sekcijos veiklos, siūlome į pramonės įmonės sampratą įtraukti ir atliekų perdirbimo veiklą, kai atliekos perdirbamos į antrines žaliavas (pvz. E sekcija, Nace 38.3).</w:t>
            </w:r>
          </w:p>
        </w:tc>
        <w:tc>
          <w:tcPr>
            <w:tcW w:w="5704" w:type="dxa"/>
          </w:tcPr>
          <w:p w14:paraId="4F141433" w14:textId="77777777" w:rsidR="00C757DC" w:rsidRPr="006C4311" w:rsidRDefault="00C757DC" w:rsidP="002842BA">
            <w:pPr>
              <w:jc w:val="both"/>
              <w:rPr>
                <w:bCs/>
                <w:szCs w:val="24"/>
              </w:rPr>
            </w:pPr>
            <w:r w:rsidRPr="006C4311">
              <w:rPr>
                <w:b/>
                <w:szCs w:val="24"/>
              </w:rPr>
              <w:lastRenderedPageBreak/>
              <w:t>Neatsižvelgta</w:t>
            </w:r>
            <w:r w:rsidRPr="006C4311">
              <w:rPr>
                <w:bCs/>
                <w:szCs w:val="24"/>
              </w:rPr>
              <w:t>.</w:t>
            </w:r>
          </w:p>
          <w:p w14:paraId="74452FC0" w14:textId="46F8788D" w:rsidR="00C757DC" w:rsidRPr="006C4311" w:rsidRDefault="00C757DC" w:rsidP="00CC717D">
            <w:pPr>
              <w:jc w:val="both"/>
              <w:rPr>
                <w:bCs/>
                <w:szCs w:val="24"/>
              </w:rPr>
            </w:pPr>
            <w:r w:rsidRPr="006C4311">
              <w:rPr>
                <w:szCs w:val="24"/>
              </w:rPr>
              <w:lastRenderedPageBreak/>
              <w:t>Įmonėms, vykdančioms pramonės ekonominę veiklą, yra priskiriamos tik B „Kasyba ir karjerų eksploatavimas“ ir C sekcijai „Apdirbamoji gamyba“ priklausančios įmonės su tam tikromis išimtimis. Esminis daiktų pakeitimas, atnaujinimas ar rekonstravimas paprastai yra priskiriamas gamybai. Kartais riba tarp gamybos ir kitų klasifikavimo sistemos sektorių gali būti ne visai aiški. Paprastai apdirbamoji gamyba yra susijusi su medžiagų pavertimu naujais produktais. Veiklos rezultatas yra naujas produktas. Naujų gatavų produktų (o ne antrinių žaliavų) gamyba yra klasifikuojama C sekcijoje apdirbamojoje gamyboje, net jeigu šiame procese vietoje žaliavų naudojamos atliekos. Yra veiklos rūšių, kurios kartais apima perdirbimo procesą, tačiau EVRK yra klasifikuojamos kitose sekcijose (t. y. neklasifikuojamos kaip apdirbamoji gamyba C sekcijoje). Į C sekciją įeina fizikinis ar cheminis medžiagų, terpių ar jų sudedamųjų dalių pakeitimas naujais produktais, nors tai negali būti naudojamas kaip vienintelis universalus kriterijus apibrėžiant apdirbamąją gamybą. Perdirbtos medžiagos, terpės ar jų sudedamosios dalys yra žaliavinės medžiagos, t. y. žemės ūkio, miškininkystės, žuvininkystės, kasybos ar karjerų eksploatavimo, taip pat kitų apdirbamosios pramonės veiklos rūšių produktai. Atsižvelgiant į aukščiau nurodytas aplinkybes, pramonės įmonės sąvokos nenumatoma tikslinti.</w:t>
            </w:r>
          </w:p>
        </w:tc>
      </w:tr>
      <w:tr w:rsidR="00C757DC" w:rsidRPr="006C4311" w14:paraId="7FBB5E80" w14:textId="77777777" w:rsidTr="008412EA">
        <w:tc>
          <w:tcPr>
            <w:tcW w:w="567" w:type="dxa"/>
          </w:tcPr>
          <w:p w14:paraId="13B0D73A" w14:textId="689E2F40" w:rsidR="00C757DC" w:rsidRPr="006C4311" w:rsidRDefault="00C757DC" w:rsidP="002842BA">
            <w:pPr>
              <w:jc w:val="both"/>
              <w:rPr>
                <w:bCs/>
                <w:szCs w:val="24"/>
              </w:rPr>
            </w:pPr>
            <w:r>
              <w:rPr>
                <w:bCs/>
                <w:szCs w:val="24"/>
              </w:rPr>
              <w:lastRenderedPageBreak/>
              <w:t>5</w:t>
            </w:r>
          </w:p>
        </w:tc>
        <w:tc>
          <w:tcPr>
            <w:tcW w:w="1730" w:type="dxa"/>
            <w:vMerge/>
          </w:tcPr>
          <w:p w14:paraId="023D7EE0" w14:textId="77777777" w:rsidR="00C757DC" w:rsidRPr="006C4311" w:rsidRDefault="00C757DC" w:rsidP="002842BA">
            <w:pPr>
              <w:jc w:val="both"/>
              <w:rPr>
                <w:b/>
                <w:bCs/>
                <w:szCs w:val="24"/>
              </w:rPr>
            </w:pPr>
          </w:p>
        </w:tc>
        <w:tc>
          <w:tcPr>
            <w:tcW w:w="6487" w:type="dxa"/>
          </w:tcPr>
          <w:p w14:paraId="6580F64E" w14:textId="77777777"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i/>
                <w:iCs/>
                <w:sz w:val="24"/>
                <w:szCs w:val="24"/>
              </w:rPr>
              <w:t xml:space="preserve">3 SPECIALUSIS PROJEKTŲ ATRANKOS KRITERIJUS. Aplinkos atžvilgiu tvari investicija suprantama taip, kaip ji apibrėžta </w:t>
            </w:r>
            <w:r w:rsidRPr="006C4311">
              <w:rPr>
                <w:rStyle w:val="cf01"/>
                <w:rFonts w:ascii="Times New Roman" w:hAnsi="Times New Roman" w:cs="Times New Roman"/>
                <w:b/>
                <w:bCs/>
                <w:i/>
                <w:iCs/>
                <w:sz w:val="24"/>
                <w:szCs w:val="24"/>
              </w:rPr>
              <w:t>PFSA 1.2.1 papunktyje.</w:t>
            </w:r>
            <w:r w:rsidRPr="006C4311">
              <w:rPr>
                <w:rStyle w:val="cf01"/>
                <w:rFonts w:ascii="Times New Roman" w:hAnsi="Times New Roman" w:cs="Times New Roman"/>
                <w:i/>
                <w:iCs/>
                <w:sz w:val="24"/>
                <w:szCs w:val="24"/>
              </w:rPr>
              <w:t xml:space="preserve"> </w:t>
            </w:r>
          </w:p>
          <w:p w14:paraId="0C3910B3" w14:textId="1F75F690"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sz w:val="24"/>
                <w:szCs w:val="24"/>
              </w:rPr>
              <w:t>Pateikiama nuoroda į PFSA, tačiau jo projektas nėra paskelbtas aptarimui, todėl nėra aišku kaip yra suprantama tvari investicija.</w:t>
            </w:r>
          </w:p>
        </w:tc>
        <w:tc>
          <w:tcPr>
            <w:tcW w:w="5704" w:type="dxa"/>
          </w:tcPr>
          <w:p w14:paraId="4EAD5424" w14:textId="77777777" w:rsidR="00C757DC" w:rsidRPr="006C4311" w:rsidRDefault="00C757DC" w:rsidP="002842BA">
            <w:pPr>
              <w:jc w:val="both"/>
              <w:rPr>
                <w:bCs/>
                <w:szCs w:val="24"/>
              </w:rPr>
            </w:pPr>
            <w:r w:rsidRPr="006C4311">
              <w:rPr>
                <w:b/>
                <w:szCs w:val="24"/>
              </w:rPr>
              <w:t>Atsižvelgta</w:t>
            </w:r>
            <w:r w:rsidRPr="006C4311">
              <w:rPr>
                <w:bCs/>
                <w:szCs w:val="24"/>
              </w:rPr>
              <w:t>.</w:t>
            </w:r>
          </w:p>
          <w:p w14:paraId="35709327" w14:textId="77777777" w:rsidR="00C757DC" w:rsidRPr="006C4311" w:rsidRDefault="00C757DC" w:rsidP="002842BA">
            <w:pPr>
              <w:jc w:val="both"/>
              <w:rPr>
                <w:bCs/>
                <w:szCs w:val="24"/>
              </w:rPr>
            </w:pPr>
            <w:r w:rsidRPr="006C4311">
              <w:rPr>
                <w:bCs/>
                <w:szCs w:val="24"/>
              </w:rPr>
              <w:t>Patikslinta ir papildyta aplinkos atžvilgiu tvarios investicijos sąvoka:</w:t>
            </w:r>
          </w:p>
          <w:p w14:paraId="044254C9" w14:textId="53615EA7" w:rsidR="00C757DC" w:rsidRPr="006C4311" w:rsidRDefault="00C757DC" w:rsidP="002842BA">
            <w:pPr>
              <w:tabs>
                <w:tab w:val="left" w:pos="458"/>
                <w:tab w:val="left" w:pos="601"/>
              </w:tabs>
              <w:jc w:val="both"/>
              <w:rPr>
                <w:bCs/>
                <w:szCs w:val="24"/>
              </w:rPr>
            </w:pPr>
            <w:r w:rsidRPr="006C4311">
              <w:rPr>
                <w:bCs/>
                <w:szCs w:val="24"/>
              </w:rPr>
              <w:t>„</w:t>
            </w:r>
            <w:r w:rsidRPr="006C4311">
              <w:rPr>
                <w:i/>
                <w:iCs/>
                <w:szCs w:val="24"/>
              </w:rPr>
              <w:t>Aplinkos atžvilgiu tvari investicija – investicija į vieną ar keletą ekonominių v</w:t>
            </w:r>
            <w:r w:rsidRPr="00FC69D8">
              <w:rPr>
                <w:i/>
                <w:iCs/>
                <w:szCs w:val="24"/>
              </w:rPr>
              <w:t xml:space="preserve">eiklų, kurios pagal </w:t>
            </w:r>
            <w:r w:rsidRPr="00FC69D8">
              <w:rPr>
                <w:rStyle w:val="cf01"/>
                <w:rFonts w:ascii="Times New Roman" w:hAnsi="Times New Roman" w:cs="Times New Roman"/>
                <w:i/>
                <w:iCs/>
                <w:sz w:val="24"/>
                <w:szCs w:val="24"/>
              </w:rPr>
              <w:t xml:space="preserve">Reglamentą (ES) 2020/852 </w:t>
            </w:r>
            <w:r w:rsidRPr="00FC69D8">
              <w:rPr>
                <w:i/>
                <w:iCs/>
                <w:szCs w:val="24"/>
              </w:rPr>
              <w:t xml:space="preserve">laikomos </w:t>
            </w:r>
            <w:r w:rsidRPr="006C4311">
              <w:rPr>
                <w:i/>
                <w:iCs/>
                <w:szCs w:val="24"/>
              </w:rPr>
              <w:t>aplinkos atžvilgiu tvaria veikla.“</w:t>
            </w:r>
          </w:p>
        </w:tc>
      </w:tr>
      <w:tr w:rsidR="00C757DC" w:rsidRPr="006C4311" w14:paraId="778AA9E2" w14:textId="77777777" w:rsidTr="008412EA">
        <w:tc>
          <w:tcPr>
            <w:tcW w:w="567" w:type="dxa"/>
          </w:tcPr>
          <w:p w14:paraId="0ABE652A" w14:textId="1787958D" w:rsidR="00C757DC" w:rsidRPr="006C4311" w:rsidRDefault="00C757DC" w:rsidP="002842BA">
            <w:pPr>
              <w:jc w:val="both"/>
              <w:rPr>
                <w:bCs/>
                <w:szCs w:val="24"/>
              </w:rPr>
            </w:pPr>
            <w:r>
              <w:rPr>
                <w:bCs/>
                <w:szCs w:val="24"/>
              </w:rPr>
              <w:lastRenderedPageBreak/>
              <w:t>6</w:t>
            </w:r>
          </w:p>
        </w:tc>
        <w:tc>
          <w:tcPr>
            <w:tcW w:w="1730" w:type="dxa"/>
            <w:vMerge/>
          </w:tcPr>
          <w:p w14:paraId="453BB581" w14:textId="77777777" w:rsidR="00C757DC" w:rsidRPr="006C4311" w:rsidRDefault="00C757DC" w:rsidP="002842BA">
            <w:pPr>
              <w:jc w:val="both"/>
              <w:rPr>
                <w:b/>
                <w:bCs/>
                <w:szCs w:val="24"/>
              </w:rPr>
            </w:pPr>
          </w:p>
        </w:tc>
        <w:tc>
          <w:tcPr>
            <w:tcW w:w="6487" w:type="dxa"/>
          </w:tcPr>
          <w:p w14:paraId="3EC4AAD9" w14:textId="77777777"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i/>
                <w:iCs/>
                <w:sz w:val="24"/>
                <w:szCs w:val="24"/>
              </w:rPr>
              <w:t>7 PRIORITETINIS PROJEKTŲ ATRANKOS KRITERIJUS. Projekte apmokyti įmonės darbuotojai.</w:t>
            </w:r>
          </w:p>
          <w:p w14:paraId="1EAEE703" w14:textId="0288ECCE" w:rsidR="00C757DC" w:rsidRPr="006C4311" w:rsidRDefault="00C757DC" w:rsidP="002842BA">
            <w:pPr>
              <w:pStyle w:val="pf0"/>
              <w:jc w:val="both"/>
              <w:rPr>
                <w:rStyle w:val="cf01"/>
                <w:rFonts w:ascii="Times New Roman" w:hAnsi="Times New Roman" w:cs="Times New Roman"/>
                <w:i/>
                <w:iCs/>
                <w:sz w:val="24"/>
                <w:szCs w:val="24"/>
              </w:rPr>
            </w:pPr>
            <w:r w:rsidRPr="006C4311">
              <w:t>Kriterijų apraše nenurodyta, ar darbuotojų mokymai yra privaloma vykdyti veikla. Ar mokymai yra privaloma vykdyti veikla kartu su naujų darbo vietų kūrimo veikla? Siūlome pareiškėjams palikti pasirinkimą vykdyti abi darbo vietų ir mokymų veiklas arba tik naujų darbo vietų kūrimo veiklą</w:t>
            </w:r>
            <w:r w:rsidRPr="006C4311">
              <w:rPr>
                <w:i/>
                <w:iCs/>
              </w:rPr>
              <w:t>.</w:t>
            </w:r>
          </w:p>
        </w:tc>
        <w:tc>
          <w:tcPr>
            <w:tcW w:w="5704" w:type="dxa"/>
          </w:tcPr>
          <w:p w14:paraId="1D6EE1C8" w14:textId="77777777" w:rsidR="00C757DC" w:rsidRPr="006C4311" w:rsidRDefault="00C757DC" w:rsidP="002842BA">
            <w:pPr>
              <w:jc w:val="both"/>
              <w:rPr>
                <w:b/>
                <w:szCs w:val="24"/>
              </w:rPr>
            </w:pPr>
            <w:r w:rsidRPr="006C4311">
              <w:rPr>
                <w:b/>
                <w:szCs w:val="24"/>
              </w:rPr>
              <w:t>Paaiškinta.</w:t>
            </w:r>
          </w:p>
          <w:p w14:paraId="424E0976" w14:textId="77777777" w:rsidR="00C757DC" w:rsidRPr="003C4BBA" w:rsidRDefault="00C757DC" w:rsidP="002842BA">
            <w:pPr>
              <w:jc w:val="both"/>
              <w:rPr>
                <w:bCs/>
                <w:szCs w:val="24"/>
              </w:rPr>
            </w:pPr>
            <w:r w:rsidRPr="006C4311">
              <w:rPr>
                <w:bCs/>
                <w:szCs w:val="24"/>
              </w:rPr>
              <w:t xml:space="preserve">Projektų atrankos kriterijai nustatomi </w:t>
            </w:r>
            <w:r w:rsidRPr="006C4311">
              <w:rPr>
                <w:b/>
                <w:bCs/>
                <w:szCs w:val="24"/>
              </w:rPr>
              <w:t>Pasiūlymo dėl projektų specialiųjų ir prioritetinių atrankos kriterijų nustatymo ir (arba) keitimo bei vertinimo metodikos</w:t>
            </w:r>
            <w:r w:rsidRPr="006C4311">
              <w:rPr>
                <w:bCs/>
                <w:szCs w:val="24"/>
              </w:rPr>
              <w:t xml:space="preserve"> formoje, nustatytoje </w:t>
            </w:r>
            <w:r w:rsidRPr="006C4311">
              <w:rPr>
                <w:szCs w:val="24"/>
              </w:rPr>
              <w:t>2021–2027 metų Europos Sąjungos fondų investicijų programos ir Ekonomikos gaivinimo ir atsparumo didinimo plano „Naujos kartos Lietuva“ administravimo taisyklių,</w:t>
            </w:r>
            <w:r w:rsidRPr="006C4311">
              <w:rPr>
                <w:bCs/>
                <w:szCs w:val="24"/>
              </w:rPr>
              <w:t xml:space="preserve"> patvirtintų </w:t>
            </w:r>
            <w:r w:rsidRPr="006C4311">
              <w:rPr>
                <w:szCs w:val="24"/>
              </w:rPr>
              <w:t xml:space="preserve">Lietuvos Respublikos finansų ministro 2022 m. birželio 22 d. įsakymu Nr. 1K-237 „Dėl 2021–2027 metų Europos Sąjungos fondų investicijų programos ir Ekonomikos gaivinimo ir atsparumo didinimo plano „Naujos kartos Lietuva“ įgyvendinimo“ (toliau – Taisyklės), </w:t>
            </w:r>
            <w:r w:rsidRPr="006C4311">
              <w:rPr>
                <w:szCs w:val="24"/>
                <w:lang w:val="en-US"/>
              </w:rPr>
              <w:t xml:space="preserve">6 </w:t>
            </w:r>
            <w:proofErr w:type="spellStart"/>
            <w:r w:rsidRPr="006C4311">
              <w:rPr>
                <w:szCs w:val="24"/>
                <w:lang w:val="en-US"/>
              </w:rPr>
              <w:t>priede</w:t>
            </w:r>
            <w:proofErr w:type="spellEnd"/>
            <w:r w:rsidRPr="006C4311">
              <w:rPr>
                <w:szCs w:val="24"/>
              </w:rPr>
              <w:t xml:space="preserve">. Šioje formoje </w:t>
            </w:r>
            <w:r w:rsidRPr="006C4311">
              <w:rPr>
                <w:bCs/>
                <w:szCs w:val="24"/>
              </w:rPr>
              <w:t>nėra detalizuojamos ir aprašomos veiklos, ši informacija turi būti pateikiam projektų finansavimo sąlygų apraše, kaip nustatyta projektų sąlygų aprašo formoje (žr</w:t>
            </w:r>
            <w:r w:rsidRPr="003C4BBA">
              <w:rPr>
                <w:bCs/>
                <w:szCs w:val="24"/>
              </w:rPr>
              <w:t xml:space="preserve">. Taisyklių </w:t>
            </w:r>
            <w:r w:rsidRPr="003C4BBA">
              <w:rPr>
                <w:bCs/>
                <w:szCs w:val="24"/>
                <w:lang w:val="en-US"/>
              </w:rPr>
              <w:t>2 pried</w:t>
            </w:r>
            <w:r w:rsidRPr="003C4BBA">
              <w:rPr>
                <w:bCs/>
                <w:szCs w:val="24"/>
              </w:rPr>
              <w:t>ą).</w:t>
            </w:r>
          </w:p>
          <w:p w14:paraId="36E12D11" w14:textId="4C1563ED" w:rsidR="00C757DC" w:rsidRPr="006C4311" w:rsidRDefault="00C757DC" w:rsidP="002842BA">
            <w:pPr>
              <w:jc w:val="both"/>
              <w:rPr>
                <w:bCs/>
                <w:szCs w:val="24"/>
              </w:rPr>
            </w:pPr>
            <w:r w:rsidRPr="003C4BBA">
              <w:rPr>
                <w:bCs/>
                <w:szCs w:val="24"/>
              </w:rPr>
              <w:t>Patvirtiname, kad darbuotojų mokymai turės būti vykdomi kartu su naujų darbo vietų kūrimo veikla.</w:t>
            </w:r>
          </w:p>
        </w:tc>
      </w:tr>
      <w:tr w:rsidR="00C757DC" w:rsidRPr="006C4311" w14:paraId="62A9B932" w14:textId="77777777" w:rsidTr="002842BA">
        <w:tc>
          <w:tcPr>
            <w:tcW w:w="567" w:type="dxa"/>
          </w:tcPr>
          <w:p w14:paraId="05280818" w14:textId="4780F9E5" w:rsidR="00C757DC" w:rsidRPr="006C4311" w:rsidRDefault="00C757DC" w:rsidP="002842BA">
            <w:pPr>
              <w:jc w:val="both"/>
              <w:rPr>
                <w:bCs/>
                <w:szCs w:val="24"/>
              </w:rPr>
            </w:pPr>
            <w:r>
              <w:rPr>
                <w:bCs/>
                <w:szCs w:val="24"/>
              </w:rPr>
              <w:t>7</w:t>
            </w:r>
          </w:p>
        </w:tc>
        <w:tc>
          <w:tcPr>
            <w:tcW w:w="1730" w:type="dxa"/>
            <w:vMerge/>
            <w:tcBorders>
              <w:bottom w:val="single" w:sz="4" w:space="0" w:color="auto"/>
            </w:tcBorders>
          </w:tcPr>
          <w:p w14:paraId="6BCB4414" w14:textId="77777777" w:rsidR="00C757DC" w:rsidRPr="006C4311" w:rsidRDefault="00C757DC" w:rsidP="002842BA">
            <w:pPr>
              <w:jc w:val="both"/>
              <w:rPr>
                <w:b/>
                <w:bCs/>
                <w:szCs w:val="24"/>
              </w:rPr>
            </w:pPr>
          </w:p>
        </w:tc>
        <w:tc>
          <w:tcPr>
            <w:tcW w:w="6487" w:type="dxa"/>
          </w:tcPr>
          <w:p w14:paraId="5508961C" w14:textId="77777777" w:rsidR="00C757DC" w:rsidRPr="00E23A71" w:rsidRDefault="00C757DC" w:rsidP="002842BA">
            <w:pPr>
              <w:pStyle w:val="pf0"/>
              <w:jc w:val="both"/>
              <w:rPr>
                <w:rStyle w:val="cf01"/>
                <w:rFonts w:ascii="Times New Roman" w:hAnsi="Times New Roman" w:cs="Times New Roman"/>
                <w:i/>
                <w:iCs/>
                <w:sz w:val="24"/>
                <w:szCs w:val="24"/>
              </w:rPr>
            </w:pPr>
            <w:r w:rsidRPr="00E23A71">
              <w:rPr>
                <w:rStyle w:val="cf01"/>
                <w:rFonts w:ascii="Times New Roman" w:hAnsi="Times New Roman" w:cs="Times New Roman"/>
                <w:i/>
                <w:iCs/>
                <w:sz w:val="24"/>
                <w:szCs w:val="24"/>
              </w:rPr>
              <w:t xml:space="preserve">6 </w:t>
            </w:r>
            <w:r w:rsidRPr="00E23A71">
              <w:rPr>
                <w:rStyle w:val="cf01"/>
                <w:rFonts w:ascii="Times New Roman" w:hAnsi="Times New Roman" w:cs="Times New Roman"/>
                <w:i/>
                <w:iCs/>
                <w:sz w:val="24"/>
                <w:szCs w:val="24"/>
                <w:lang w:val="en-US"/>
              </w:rPr>
              <w:t xml:space="preserve">PRIORITETINIS ATRANKOS KRITERIJUS. </w:t>
            </w:r>
            <w:proofErr w:type="spellStart"/>
            <w:r w:rsidRPr="00E23A71">
              <w:rPr>
                <w:rStyle w:val="cf01"/>
                <w:rFonts w:ascii="Times New Roman" w:hAnsi="Times New Roman" w:cs="Times New Roman"/>
                <w:i/>
                <w:iCs/>
                <w:sz w:val="24"/>
                <w:szCs w:val="24"/>
                <w:lang w:val="en-US"/>
              </w:rPr>
              <w:t>Projekto</w:t>
            </w:r>
            <w:proofErr w:type="spellEnd"/>
            <w:r w:rsidRPr="00E23A71">
              <w:rPr>
                <w:rStyle w:val="cf01"/>
                <w:rFonts w:ascii="Times New Roman" w:hAnsi="Times New Roman" w:cs="Times New Roman"/>
                <w:i/>
                <w:iCs/>
                <w:sz w:val="24"/>
                <w:szCs w:val="24"/>
                <w:lang w:val="en-US"/>
              </w:rPr>
              <w:t xml:space="preserve"> </w:t>
            </w:r>
            <w:proofErr w:type="spellStart"/>
            <w:r w:rsidRPr="00E23A71">
              <w:rPr>
                <w:rStyle w:val="cf01"/>
                <w:rFonts w:ascii="Times New Roman" w:hAnsi="Times New Roman" w:cs="Times New Roman"/>
                <w:i/>
                <w:iCs/>
                <w:sz w:val="24"/>
                <w:szCs w:val="24"/>
                <w:lang w:val="en-US"/>
              </w:rPr>
              <w:t>efektyvumas</w:t>
            </w:r>
            <w:proofErr w:type="spellEnd"/>
          </w:p>
          <w:p w14:paraId="45739852" w14:textId="77777777" w:rsidR="00C757DC" w:rsidRPr="00E23A71" w:rsidRDefault="00C757DC" w:rsidP="002842BA">
            <w:pPr>
              <w:jc w:val="both"/>
              <w:rPr>
                <w:rFonts w:eastAsiaTheme="minorHAnsi"/>
                <w:szCs w:val="24"/>
              </w:rPr>
            </w:pPr>
            <w:r w:rsidRPr="00E23A71">
              <w:rPr>
                <w:szCs w:val="24"/>
              </w:rPr>
              <w:t xml:space="preserve">Šiuo metu kriterijus ir jo skaičiavimas orientuotas į mažai kapitalui imlius projektus, kuriuose su mažiau investicijų kuriama daugiau darbo vietų. Gamybos sektoriuje tai gali būti mažos automatizacijos lygmens projektai (kuriama daug darbo vietų ir mažai investicijų į kapitalą). Vykstant techniniam progresui ir gamybos automatizacijai, vis daugiau gamybos sričių tampa imlesnės kapitalo investicijoms, o mašinos keičia žmogaus darbą. Be to, tvarios investicijos irgi yra imlios kapitalo investicijoms - šiuolaikinės gamybos technologijos reikalauja nemažų investicijų, tačiau būtent šios technologijos yra orientuotos į gamybos proceso efektyvumą ir produktyvumą. Tokiais atvejais kapitalo imlios gamybos kapitalo ir darbo santykis yra didelis. Be </w:t>
            </w:r>
            <w:r w:rsidRPr="00E23A71">
              <w:rPr>
                <w:szCs w:val="24"/>
              </w:rPr>
              <w:lastRenderedPageBreak/>
              <w:t xml:space="preserve">to, tokiose kapitalui imliose projektuose, kai diegiamos šiuolaikinės gamybos technologijos, yra poreikis turėti ir aukštos kvalifikacijos darbuotojus, kurių atlyginimo VDU yra didesnis Tokie projektai pasižymimi mažesniu darbuotoju skaičiumi, tačiau kuriamos darbo vietos yra aukštesnės pridėtinės vertės ir geriau apmokamos. </w:t>
            </w:r>
          </w:p>
          <w:p w14:paraId="7EA76E0F" w14:textId="77777777" w:rsidR="00C757DC" w:rsidRPr="00E23A71" w:rsidRDefault="00C757DC" w:rsidP="002842BA">
            <w:pPr>
              <w:ind w:left="1200"/>
              <w:jc w:val="both"/>
              <w:rPr>
                <w:i/>
                <w:iCs/>
                <w:szCs w:val="24"/>
              </w:rPr>
            </w:pPr>
          </w:p>
          <w:p w14:paraId="78362158" w14:textId="77777777" w:rsidR="00C757DC" w:rsidRPr="00E23A71" w:rsidRDefault="00C757DC" w:rsidP="002842BA">
            <w:pPr>
              <w:jc w:val="both"/>
              <w:rPr>
                <w:szCs w:val="24"/>
              </w:rPr>
            </w:pPr>
            <w:r w:rsidRPr="00E23A71">
              <w:rPr>
                <w:szCs w:val="24"/>
              </w:rPr>
              <w:t xml:space="preserve">Siūlome vertinti projekto pajamų ir skirto finansavimo santykį arba nustatyti darbo vietų kokybinius rodiklius, pvz. projekto metų sukurtose darbo vietose mokamo VDU dydį su savivaldybės, kurioje įgyvendinamas projektas, VDU dydžiu (vertinamas santykis). </w:t>
            </w:r>
          </w:p>
          <w:p w14:paraId="4FAA1C63" w14:textId="77777777" w:rsidR="00C757DC" w:rsidRPr="00E23A71" w:rsidRDefault="00C757DC" w:rsidP="002842BA">
            <w:pPr>
              <w:pStyle w:val="ListParagraph"/>
              <w:ind w:left="1080"/>
              <w:jc w:val="both"/>
              <w:rPr>
                <w:szCs w:val="24"/>
              </w:rPr>
            </w:pPr>
          </w:p>
          <w:p w14:paraId="4C0FDFB3" w14:textId="77777777" w:rsidR="00C757DC" w:rsidRPr="00E23A71" w:rsidRDefault="00C757DC" w:rsidP="002842BA">
            <w:pPr>
              <w:jc w:val="both"/>
              <w:rPr>
                <w:szCs w:val="24"/>
              </w:rPr>
            </w:pPr>
            <w:r w:rsidRPr="00E23A71">
              <w:rPr>
                <w:szCs w:val="24"/>
              </w:rPr>
              <w:t xml:space="preserve">Siūlytume į tai atsižvelgti ir patikslinti šio kriterijaus aprašymą pasirenkant vieną ir žemiau pateiktų alternatyvų. Siūlome dvi alternatyvas projekto efektyvumui vertinti: </w:t>
            </w:r>
          </w:p>
          <w:p w14:paraId="1805B8C9" w14:textId="77777777" w:rsidR="00C757DC" w:rsidRPr="00E23A71" w:rsidRDefault="00C757DC" w:rsidP="002842BA">
            <w:pPr>
              <w:pStyle w:val="ListParagraph"/>
              <w:ind w:left="1080"/>
              <w:jc w:val="both"/>
              <w:rPr>
                <w:szCs w:val="24"/>
              </w:rPr>
            </w:pPr>
          </w:p>
          <w:p w14:paraId="2E8EB9EF" w14:textId="77777777" w:rsidR="00C757DC" w:rsidRPr="00E23A71" w:rsidRDefault="00C757DC" w:rsidP="002842BA">
            <w:pPr>
              <w:jc w:val="both"/>
              <w:rPr>
                <w:szCs w:val="24"/>
              </w:rPr>
            </w:pPr>
            <w:r w:rsidRPr="00E23A71">
              <w:rPr>
                <w:szCs w:val="24"/>
              </w:rPr>
              <w:t xml:space="preserve">I ALTERNATYVA: Siūlytume atrankos kriterijų formuluoti vertinant investicijos komercinį potencialą kaip santykį tarp pareiškėjo planuojamų pajamų iš investicijos ir skirtos finansavimo sumos projektui. </w:t>
            </w:r>
          </w:p>
          <w:p w14:paraId="347FC12B" w14:textId="77777777" w:rsidR="00C757DC" w:rsidRPr="00E23A71" w:rsidRDefault="00C757DC" w:rsidP="002842BA">
            <w:pPr>
              <w:pStyle w:val="ListParagraph"/>
              <w:ind w:left="1080"/>
              <w:jc w:val="both"/>
              <w:rPr>
                <w:szCs w:val="24"/>
              </w:rPr>
            </w:pPr>
          </w:p>
          <w:p w14:paraId="24226311" w14:textId="77777777" w:rsidR="00C757DC" w:rsidRPr="00E23A71" w:rsidRDefault="00C757DC" w:rsidP="002842BA">
            <w:pPr>
              <w:jc w:val="both"/>
              <w:rPr>
                <w:szCs w:val="24"/>
              </w:rPr>
            </w:pPr>
            <w:r w:rsidRPr="00E23A71">
              <w:rPr>
                <w:szCs w:val="24"/>
              </w:rPr>
              <w:t xml:space="preserve">Vertinama pagal formulę X=P/I, kurioje: </w:t>
            </w:r>
          </w:p>
          <w:p w14:paraId="563F51D9" w14:textId="77777777" w:rsidR="00C757DC" w:rsidRPr="00E23A71" w:rsidRDefault="00C757DC" w:rsidP="002842BA">
            <w:pPr>
              <w:jc w:val="both"/>
              <w:rPr>
                <w:szCs w:val="24"/>
              </w:rPr>
            </w:pPr>
            <w:r w:rsidRPr="00E23A71">
              <w:rPr>
                <w:szCs w:val="24"/>
              </w:rPr>
              <w:t xml:space="preserve">P – projekto įgyvendinimo metu ir 3 metus po projekto veiklų įgyvendinimo pabaigos įmonės gautos pajamos iš tiesiogiai projekto metu sukurtų ir rinkai pateiktų produktų. </w:t>
            </w:r>
          </w:p>
          <w:p w14:paraId="5633E765" w14:textId="77777777" w:rsidR="00C757DC" w:rsidRPr="00E23A71" w:rsidRDefault="00C757DC" w:rsidP="002842BA">
            <w:pPr>
              <w:jc w:val="both"/>
              <w:rPr>
                <w:szCs w:val="24"/>
              </w:rPr>
            </w:pPr>
            <w:r w:rsidRPr="00E23A71">
              <w:rPr>
                <w:szCs w:val="24"/>
              </w:rPr>
              <w:t xml:space="preserve">I – skirta finansavimo suma projektui; </w:t>
            </w:r>
          </w:p>
          <w:p w14:paraId="2040E74F" w14:textId="77777777" w:rsidR="00C757DC" w:rsidRPr="00E23A71" w:rsidRDefault="00C757DC" w:rsidP="002842BA">
            <w:pPr>
              <w:jc w:val="both"/>
              <w:rPr>
                <w:szCs w:val="24"/>
              </w:rPr>
            </w:pPr>
            <w:r w:rsidRPr="00E23A71">
              <w:rPr>
                <w:szCs w:val="24"/>
              </w:rPr>
              <w:t xml:space="preserve">X – santykis tarp pajamų, gautų iš projekto įgyvendinimo metu ir 3 metus po projekto veiklų įgyvendinimo pabaigos tiesiogiai projekto metu sukurtų ir rinkai pateiktų produktų ir skirtos finansavimo sumos projektui. </w:t>
            </w:r>
          </w:p>
          <w:p w14:paraId="74F67E77" w14:textId="77777777" w:rsidR="00C757DC" w:rsidRPr="00E23A71" w:rsidRDefault="00C757DC" w:rsidP="002842BA">
            <w:pPr>
              <w:jc w:val="both"/>
              <w:rPr>
                <w:szCs w:val="24"/>
              </w:rPr>
            </w:pPr>
            <w:r w:rsidRPr="00E23A71">
              <w:rPr>
                <w:szCs w:val="24"/>
              </w:rPr>
              <w:t xml:space="preserve">Daugiau balų suteikiama tiems projektams, kurių X yra didesnis. </w:t>
            </w:r>
          </w:p>
          <w:p w14:paraId="2F5E80FC" w14:textId="77777777" w:rsidR="00C757DC" w:rsidRPr="00E23A71" w:rsidRDefault="00C757DC" w:rsidP="002842BA">
            <w:pPr>
              <w:pStyle w:val="ListParagraph"/>
              <w:ind w:left="1080"/>
              <w:jc w:val="both"/>
              <w:rPr>
                <w:szCs w:val="24"/>
              </w:rPr>
            </w:pPr>
          </w:p>
          <w:p w14:paraId="6FFFA3EA" w14:textId="27B448AD" w:rsidR="00C757DC" w:rsidRPr="00E23A71" w:rsidRDefault="00C757DC" w:rsidP="002842BA">
            <w:pPr>
              <w:jc w:val="both"/>
              <w:rPr>
                <w:rStyle w:val="cf01"/>
                <w:rFonts w:ascii="Times New Roman" w:hAnsi="Times New Roman" w:cs="Times New Roman"/>
                <w:i/>
                <w:iCs/>
                <w:sz w:val="24"/>
                <w:szCs w:val="24"/>
              </w:rPr>
            </w:pPr>
            <w:r w:rsidRPr="00E23A71">
              <w:rPr>
                <w:szCs w:val="24"/>
              </w:rPr>
              <w:lastRenderedPageBreak/>
              <w:t xml:space="preserve">II ALTERNATYVA: Siūlome atrankos kriterijų formuluoti vertinant darbo vietų kokybinius rodiklius, kai būtų atsižvelgiama į projekto metu planuojamose sukurti darbo vietose planuojamo mokėti VDU dydį su savivaldybės, kurioje būtų įgyvendinamas projektas VDU dydžiu (būtų vertinamas santykis). Projektai galėtų būti sureitinguoti nuo didžiausio santykio iki mažiausio, skirstant prioritetinius balus kas 20 proc. Projektų </w:t>
            </w:r>
            <w:proofErr w:type="spellStart"/>
            <w:r w:rsidRPr="00E23A71">
              <w:rPr>
                <w:szCs w:val="24"/>
              </w:rPr>
              <w:t>t.y</w:t>
            </w:r>
            <w:proofErr w:type="spellEnd"/>
            <w:r w:rsidRPr="00E23A71">
              <w:rPr>
                <w:szCs w:val="24"/>
              </w:rPr>
              <w:t>. sąraše esantiems pirmiems 20 proc. projektų būtų skiriamas didžiausiais balas, kitiems 20 proc. žemesnis, kitiems 20 proc. žemesnis ir t.t. Daugiausia balų būtų suteikiama projektams, kurių santykis yra didžiausias.</w:t>
            </w:r>
          </w:p>
        </w:tc>
        <w:tc>
          <w:tcPr>
            <w:tcW w:w="5704" w:type="dxa"/>
          </w:tcPr>
          <w:p w14:paraId="6409F355" w14:textId="6E1D579E" w:rsidR="00C757DC" w:rsidRPr="00E23A71" w:rsidRDefault="00622715" w:rsidP="002842BA">
            <w:pPr>
              <w:jc w:val="both"/>
              <w:rPr>
                <w:b/>
                <w:szCs w:val="24"/>
              </w:rPr>
            </w:pPr>
            <w:r w:rsidRPr="00E23A71">
              <w:rPr>
                <w:b/>
                <w:szCs w:val="24"/>
              </w:rPr>
              <w:lastRenderedPageBreak/>
              <w:t>Atsižvelgta.</w:t>
            </w:r>
          </w:p>
          <w:p w14:paraId="2FEC0C49" w14:textId="52CC5AEA" w:rsidR="00E23A71" w:rsidRPr="00E23A71" w:rsidRDefault="00C84941" w:rsidP="00E23A71">
            <w:pPr>
              <w:spacing w:after="100" w:afterAutospacing="1"/>
              <w:jc w:val="both"/>
              <w:rPr>
                <w:bCs/>
                <w:i/>
                <w:iCs/>
              </w:rPr>
            </w:pPr>
            <w:r w:rsidRPr="00E23A71">
              <w:rPr>
                <w:bCs/>
                <w:szCs w:val="24"/>
              </w:rPr>
              <w:t xml:space="preserve">Priimtas sprendimas „projekto efektyvumo“ projektų atrankos kriterijų pakeisti </w:t>
            </w:r>
            <w:r w:rsidR="00D5127F" w:rsidRPr="00E23A71">
              <w:rPr>
                <w:bCs/>
                <w:szCs w:val="24"/>
              </w:rPr>
              <w:t xml:space="preserve">projektų atrankos kriterijumi </w:t>
            </w:r>
            <w:r w:rsidRPr="00E23A71">
              <w:rPr>
                <w:bCs/>
                <w:szCs w:val="24"/>
              </w:rPr>
              <w:t>„</w:t>
            </w:r>
            <w:r w:rsidRPr="00E23A71">
              <w:rPr>
                <w:bCs/>
              </w:rPr>
              <w:t>Projekto įgyvendinimo metu sukurtų naujų tvarių darbo vietų darbo užmokesčio santykis“</w:t>
            </w:r>
            <w:r w:rsidR="00D5127F" w:rsidRPr="00E23A71">
              <w:rPr>
                <w:bCs/>
              </w:rPr>
              <w:t xml:space="preserve">, kuriuo </w:t>
            </w:r>
            <w:r w:rsidR="00E23A71" w:rsidRPr="00E23A71">
              <w:rPr>
                <w:bCs/>
                <w:szCs w:val="24"/>
              </w:rPr>
              <w:t xml:space="preserve">būtų vertinamas santykis tarp projekto įgyvendinimo metu sukurtų naujų tvarių darbo vietų vidutinio mėnesinio bruto darbo užmokesčio dydžio ir PĮP pateikimo administruojančiajai institucijai metu Valstybės duomenų agentūros skelbiamo savivaldybės, kurioje būtų įgyvendinamas projektas, vidutinio mėnesinio bruto darbo užmokesčio </w:t>
            </w:r>
            <w:r w:rsidR="00E23A71" w:rsidRPr="00E23A71">
              <w:rPr>
                <w:bCs/>
              </w:rPr>
              <w:t>dydžio. Tokiu būdu sudarant prielaidas kurti geriau apmokamas darbo vietas.</w:t>
            </w:r>
          </w:p>
          <w:p w14:paraId="3D403122" w14:textId="0DA0229E" w:rsidR="00C757DC" w:rsidRPr="00E23A71" w:rsidRDefault="00C757DC" w:rsidP="002842BA">
            <w:pPr>
              <w:jc w:val="both"/>
              <w:rPr>
                <w:bCs/>
                <w:szCs w:val="24"/>
              </w:rPr>
            </w:pPr>
          </w:p>
        </w:tc>
      </w:tr>
    </w:tbl>
    <w:p w14:paraId="1938C6D7" w14:textId="3230EFFC"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411D" w14:textId="77777777" w:rsidR="00844907" w:rsidRDefault="00844907" w:rsidP="002916D9">
      <w:r>
        <w:separator/>
      </w:r>
    </w:p>
  </w:endnote>
  <w:endnote w:type="continuationSeparator" w:id="0">
    <w:p w14:paraId="3A9EA0C0" w14:textId="77777777" w:rsidR="00844907" w:rsidRDefault="00844907"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3006" w14:textId="77777777" w:rsidR="00844907" w:rsidRDefault="00844907" w:rsidP="002916D9">
      <w:r>
        <w:separator/>
      </w:r>
    </w:p>
  </w:footnote>
  <w:footnote w:type="continuationSeparator" w:id="0">
    <w:p w14:paraId="2C14E485" w14:textId="77777777" w:rsidR="00844907" w:rsidRDefault="00844907"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4"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1"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3"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9"/>
  </w:num>
  <w:num w:numId="2" w16cid:durableId="590823639">
    <w:abstractNumId w:val="27"/>
  </w:num>
  <w:num w:numId="3" w16cid:durableId="1781342471">
    <w:abstractNumId w:val="31"/>
  </w:num>
  <w:num w:numId="4" w16cid:durableId="2136214109">
    <w:abstractNumId w:val="4"/>
  </w:num>
  <w:num w:numId="5" w16cid:durableId="910963805">
    <w:abstractNumId w:val="6"/>
  </w:num>
  <w:num w:numId="6" w16cid:durableId="333655149">
    <w:abstractNumId w:val="1"/>
  </w:num>
  <w:num w:numId="7" w16cid:durableId="312101155">
    <w:abstractNumId w:val="9"/>
  </w:num>
  <w:num w:numId="8" w16cid:durableId="1336803479">
    <w:abstractNumId w:val="14"/>
  </w:num>
  <w:num w:numId="9" w16cid:durableId="434331772">
    <w:abstractNumId w:val="32"/>
  </w:num>
  <w:num w:numId="10" w16cid:durableId="103614791">
    <w:abstractNumId w:val="11"/>
  </w:num>
  <w:num w:numId="11" w16cid:durableId="2028557522">
    <w:abstractNumId w:val="33"/>
  </w:num>
  <w:num w:numId="12" w16cid:durableId="972831739">
    <w:abstractNumId w:val="25"/>
  </w:num>
  <w:num w:numId="13" w16cid:durableId="1793934882">
    <w:abstractNumId w:val="7"/>
  </w:num>
  <w:num w:numId="14" w16cid:durableId="1149008943">
    <w:abstractNumId w:val="0"/>
  </w:num>
  <w:num w:numId="15" w16cid:durableId="14919474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2"/>
  </w:num>
  <w:num w:numId="20" w16cid:durableId="394553583">
    <w:abstractNumId w:val="2"/>
  </w:num>
  <w:num w:numId="21" w16cid:durableId="469903781">
    <w:abstractNumId w:val="24"/>
  </w:num>
  <w:num w:numId="22" w16cid:durableId="1984893922">
    <w:abstractNumId w:val="23"/>
  </w:num>
  <w:num w:numId="23" w16cid:durableId="1565066008">
    <w:abstractNumId w:val="8"/>
  </w:num>
  <w:num w:numId="24" w16cid:durableId="1359235010">
    <w:abstractNumId w:val="19"/>
  </w:num>
  <w:num w:numId="25" w16cid:durableId="222563417">
    <w:abstractNumId w:val="21"/>
  </w:num>
  <w:num w:numId="26" w16cid:durableId="1091388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17"/>
  </w:num>
  <w:num w:numId="28" w16cid:durableId="1218130174">
    <w:abstractNumId w:val="26"/>
  </w:num>
  <w:num w:numId="29" w16cid:durableId="1643653455">
    <w:abstractNumId w:val="18"/>
  </w:num>
  <w:num w:numId="30" w16cid:durableId="758523444">
    <w:abstractNumId w:val="22"/>
  </w:num>
  <w:num w:numId="31" w16cid:durableId="1642617968">
    <w:abstractNumId w:val="13"/>
  </w:num>
  <w:num w:numId="32" w16cid:durableId="775558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0"/>
  </w:num>
  <w:num w:numId="34" w16cid:durableId="965045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538E"/>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3152"/>
    <w:rsid w:val="000640C7"/>
    <w:rsid w:val="00066215"/>
    <w:rsid w:val="00066715"/>
    <w:rsid w:val="000671F1"/>
    <w:rsid w:val="0007038C"/>
    <w:rsid w:val="00070B21"/>
    <w:rsid w:val="00070ED6"/>
    <w:rsid w:val="00070EF3"/>
    <w:rsid w:val="00073C77"/>
    <w:rsid w:val="00077247"/>
    <w:rsid w:val="00081BC9"/>
    <w:rsid w:val="0009063A"/>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33CC"/>
    <w:rsid w:val="000E4A39"/>
    <w:rsid w:val="000E5789"/>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4696E"/>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2F60"/>
    <w:rsid w:val="001C35AE"/>
    <w:rsid w:val="001C48EF"/>
    <w:rsid w:val="001C65B5"/>
    <w:rsid w:val="001C7FE2"/>
    <w:rsid w:val="001D0FA0"/>
    <w:rsid w:val="001D1083"/>
    <w:rsid w:val="001D3C04"/>
    <w:rsid w:val="001D44E2"/>
    <w:rsid w:val="001D6507"/>
    <w:rsid w:val="001D6F4A"/>
    <w:rsid w:val="001E3BFE"/>
    <w:rsid w:val="001E4C57"/>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2EC1"/>
    <w:rsid w:val="00224286"/>
    <w:rsid w:val="0022435B"/>
    <w:rsid w:val="0023024D"/>
    <w:rsid w:val="002315AB"/>
    <w:rsid w:val="00233335"/>
    <w:rsid w:val="00234AE2"/>
    <w:rsid w:val="00240D00"/>
    <w:rsid w:val="00241069"/>
    <w:rsid w:val="00241C69"/>
    <w:rsid w:val="0024220F"/>
    <w:rsid w:val="0024541C"/>
    <w:rsid w:val="00247BB5"/>
    <w:rsid w:val="00251EBD"/>
    <w:rsid w:val="00252650"/>
    <w:rsid w:val="00252A1D"/>
    <w:rsid w:val="00254161"/>
    <w:rsid w:val="00256BE3"/>
    <w:rsid w:val="00261976"/>
    <w:rsid w:val="00261F30"/>
    <w:rsid w:val="00266F48"/>
    <w:rsid w:val="00267F2E"/>
    <w:rsid w:val="00270AE5"/>
    <w:rsid w:val="00271242"/>
    <w:rsid w:val="0027186C"/>
    <w:rsid w:val="002730D8"/>
    <w:rsid w:val="002732FB"/>
    <w:rsid w:val="00280FCB"/>
    <w:rsid w:val="00281473"/>
    <w:rsid w:val="0028196D"/>
    <w:rsid w:val="00282D46"/>
    <w:rsid w:val="002842BA"/>
    <w:rsid w:val="00284754"/>
    <w:rsid w:val="00286261"/>
    <w:rsid w:val="002903CE"/>
    <w:rsid w:val="002916D9"/>
    <w:rsid w:val="002923A6"/>
    <w:rsid w:val="002929F7"/>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54D7B"/>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A727C"/>
    <w:rsid w:val="003B055B"/>
    <w:rsid w:val="003B2DCD"/>
    <w:rsid w:val="003B2FAE"/>
    <w:rsid w:val="003B4705"/>
    <w:rsid w:val="003B6643"/>
    <w:rsid w:val="003B726A"/>
    <w:rsid w:val="003C0C36"/>
    <w:rsid w:val="003C44A8"/>
    <w:rsid w:val="003C4BBA"/>
    <w:rsid w:val="003C6054"/>
    <w:rsid w:val="003C7665"/>
    <w:rsid w:val="003D2338"/>
    <w:rsid w:val="003D4EB4"/>
    <w:rsid w:val="003D6076"/>
    <w:rsid w:val="003E09D5"/>
    <w:rsid w:val="003E2769"/>
    <w:rsid w:val="003E2F0D"/>
    <w:rsid w:val="003E4F82"/>
    <w:rsid w:val="003E77A4"/>
    <w:rsid w:val="003F2C16"/>
    <w:rsid w:val="003F5676"/>
    <w:rsid w:val="003F646A"/>
    <w:rsid w:val="003F7DF8"/>
    <w:rsid w:val="00405E55"/>
    <w:rsid w:val="0040628C"/>
    <w:rsid w:val="0041243E"/>
    <w:rsid w:val="004136A8"/>
    <w:rsid w:val="00414392"/>
    <w:rsid w:val="00415C34"/>
    <w:rsid w:val="004162AD"/>
    <w:rsid w:val="00416D30"/>
    <w:rsid w:val="004177C2"/>
    <w:rsid w:val="00417DC7"/>
    <w:rsid w:val="004200AE"/>
    <w:rsid w:val="00421757"/>
    <w:rsid w:val="00421A44"/>
    <w:rsid w:val="00421AD5"/>
    <w:rsid w:val="00422ACE"/>
    <w:rsid w:val="004322A4"/>
    <w:rsid w:val="004378EE"/>
    <w:rsid w:val="004464F5"/>
    <w:rsid w:val="00447D74"/>
    <w:rsid w:val="00452AAF"/>
    <w:rsid w:val="00452FA3"/>
    <w:rsid w:val="00455305"/>
    <w:rsid w:val="00455971"/>
    <w:rsid w:val="004631DA"/>
    <w:rsid w:val="004639C4"/>
    <w:rsid w:val="00464F3D"/>
    <w:rsid w:val="00466795"/>
    <w:rsid w:val="00466A09"/>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4F73D7"/>
    <w:rsid w:val="005004F3"/>
    <w:rsid w:val="005054C5"/>
    <w:rsid w:val="00510A85"/>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6B7E"/>
    <w:rsid w:val="005D7216"/>
    <w:rsid w:val="005E0604"/>
    <w:rsid w:val="005E1221"/>
    <w:rsid w:val="005E1F42"/>
    <w:rsid w:val="005E31D2"/>
    <w:rsid w:val="005E5744"/>
    <w:rsid w:val="005E5794"/>
    <w:rsid w:val="005F038F"/>
    <w:rsid w:val="005F0F88"/>
    <w:rsid w:val="005F4CB3"/>
    <w:rsid w:val="0060346F"/>
    <w:rsid w:val="006078D1"/>
    <w:rsid w:val="00607C88"/>
    <w:rsid w:val="006106A7"/>
    <w:rsid w:val="00611290"/>
    <w:rsid w:val="00611C52"/>
    <w:rsid w:val="00613BBB"/>
    <w:rsid w:val="00615ACB"/>
    <w:rsid w:val="00616E99"/>
    <w:rsid w:val="006171C7"/>
    <w:rsid w:val="0061772B"/>
    <w:rsid w:val="006179ED"/>
    <w:rsid w:val="00620151"/>
    <w:rsid w:val="00622715"/>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6AD"/>
    <w:rsid w:val="00685FFF"/>
    <w:rsid w:val="00686E67"/>
    <w:rsid w:val="00690AB6"/>
    <w:rsid w:val="00690B46"/>
    <w:rsid w:val="00691C21"/>
    <w:rsid w:val="006937CB"/>
    <w:rsid w:val="00694F03"/>
    <w:rsid w:val="00696DBF"/>
    <w:rsid w:val="00696E7D"/>
    <w:rsid w:val="006A1E78"/>
    <w:rsid w:val="006A22E2"/>
    <w:rsid w:val="006A6D8E"/>
    <w:rsid w:val="006B0D85"/>
    <w:rsid w:val="006B19A2"/>
    <w:rsid w:val="006B5226"/>
    <w:rsid w:val="006B526A"/>
    <w:rsid w:val="006B75D2"/>
    <w:rsid w:val="006B7F23"/>
    <w:rsid w:val="006C0163"/>
    <w:rsid w:val="006C0BB5"/>
    <w:rsid w:val="006C13C0"/>
    <w:rsid w:val="006C2B3C"/>
    <w:rsid w:val="006C4311"/>
    <w:rsid w:val="006C5272"/>
    <w:rsid w:val="006C5A46"/>
    <w:rsid w:val="006D1718"/>
    <w:rsid w:val="006D4B98"/>
    <w:rsid w:val="006D5CE9"/>
    <w:rsid w:val="006E05A9"/>
    <w:rsid w:val="006E0B8B"/>
    <w:rsid w:val="006E16C9"/>
    <w:rsid w:val="006E3883"/>
    <w:rsid w:val="006E67AE"/>
    <w:rsid w:val="006E798D"/>
    <w:rsid w:val="006E7C89"/>
    <w:rsid w:val="006F23CE"/>
    <w:rsid w:val="006F7B23"/>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571EF"/>
    <w:rsid w:val="00760318"/>
    <w:rsid w:val="00761496"/>
    <w:rsid w:val="00761F33"/>
    <w:rsid w:val="00766449"/>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3A69"/>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59C"/>
    <w:rsid w:val="008359DC"/>
    <w:rsid w:val="00836F2D"/>
    <w:rsid w:val="0084195D"/>
    <w:rsid w:val="0084217F"/>
    <w:rsid w:val="00843962"/>
    <w:rsid w:val="00844907"/>
    <w:rsid w:val="00847DCC"/>
    <w:rsid w:val="00852964"/>
    <w:rsid w:val="0085384B"/>
    <w:rsid w:val="0085430B"/>
    <w:rsid w:val="00856EDA"/>
    <w:rsid w:val="008576A6"/>
    <w:rsid w:val="00865C80"/>
    <w:rsid w:val="008663E3"/>
    <w:rsid w:val="00867C39"/>
    <w:rsid w:val="00874085"/>
    <w:rsid w:val="00875BEC"/>
    <w:rsid w:val="00880909"/>
    <w:rsid w:val="008820BA"/>
    <w:rsid w:val="00882EF3"/>
    <w:rsid w:val="00885C3D"/>
    <w:rsid w:val="0088666B"/>
    <w:rsid w:val="00890A7C"/>
    <w:rsid w:val="00890ABB"/>
    <w:rsid w:val="008923B9"/>
    <w:rsid w:val="00892985"/>
    <w:rsid w:val="00893A29"/>
    <w:rsid w:val="00894683"/>
    <w:rsid w:val="008A0CD9"/>
    <w:rsid w:val="008A3E24"/>
    <w:rsid w:val="008A53CB"/>
    <w:rsid w:val="008A57E4"/>
    <w:rsid w:val="008A5A0D"/>
    <w:rsid w:val="008B3037"/>
    <w:rsid w:val="008B3CA0"/>
    <w:rsid w:val="008C2766"/>
    <w:rsid w:val="008C3DAE"/>
    <w:rsid w:val="008C4CE9"/>
    <w:rsid w:val="008D2074"/>
    <w:rsid w:val="008D4415"/>
    <w:rsid w:val="008D444C"/>
    <w:rsid w:val="008D55D4"/>
    <w:rsid w:val="008D5E5C"/>
    <w:rsid w:val="008D5F38"/>
    <w:rsid w:val="008D7278"/>
    <w:rsid w:val="008D748C"/>
    <w:rsid w:val="008E2069"/>
    <w:rsid w:val="008E3A92"/>
    <w:rsid w:val="008E3C68"/>
    <w:rsid w:val="008E4CDA"/>
    <w:rsid w:val="008F0628"/>
    <w:rsid w:val="008F38C3"/>
    <w:rsid w:val="008F434D"/>
    <w:rsid w:val="008F4E99"/>
    <w:rsid w:val="008F5BA4"/>
    <w:rsid w:val="00911486"/>
    <w:rsid w:val="00913A09"/>
    <w:rsid w:val="009210A0"/>
    <w:rsid w:val="009220EC"/>
    <w:rsid w:val="00926630"/>
    <w:rsid w:val="0092768B"/>
    <w:rsid w:val="009278F7"/>
    <w:rsid w:val="00930FD1"/>
    <w:rsid w:val="00933886"/>
    <w:rsid w:val="00934F45"/>
    <w:rsid w:val="00941F81"/>
    <w:rsid w:val="009420F3"/>
    <w:rsid w:val="009422B0"/>
    <w:rsid w:val="009436FA"/>
    <w:rsid w:val="00943DA8"/>
    <w:rsid w:val="00946096"/>
    <w:rsid w:val="00947C9D"/>
    <w:rsid w:val="00951376"/>
    <w:rsid w:val="009547F4"/>
    <w:rsid w:val="00954EEB"/>
    <w:rsid w:val="00955A85"/>
    <w:rsid w:val="00956C1E"/>
    <w:rsid w:val="0096162B"/>
    <w:rsid w:val="00965B35"/>
    <w:rsid w:val="00967963"/>
    <w:rsid w:val="0097341D"/>
    <w:rsid w:val="0097391D"/>
    <w:rsid w:val="00975241"/>
    <w:rsid w:val="009813D8"/>
    <w:rsid w:val="00981835"/>
    <w:rsid w:val="00984D10"/>
    <w:rsid w:val="00986A8F"/>
    <w:rsid w:val="009913E3"/>
    <w:rsid w:val="009924A0"/>
    <w:rsid w:val="00992E1A"/>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125"/>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6E3B"/>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775F6"/>
    <w:rsid w:val="00A80ADA"/>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1CAF"/>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757DC"/>
    <w:rsid w:val="00C80FBD"/>
    <w:rsid w:val="00C81DDD"/>
    <w:rsid w:val="00C84941"/>
    <w:rsid w:val="00C85D29"/>
    <w:rsid w:val="00C87C2D"/>
    <w:rsid w:val="00C87F9B"/>
    <w:rsid w:val="00C90FFB"/>
    <w:rsid w:val="00C916C8"/>
    <w:rsid w:val="00C92E7E"/>
    <w:rsid w:val="00C94B40"/>
    <w:rsid w:val="00C9626F"/>
    <w:rsid w:val="00C96B29"/>
    <w:rsid w:val="00C97E60"/>
    <w:rsid w:val="00CA08AD"/>
    <w:rsid w:val="00CA1C34"/>
    <w:rsid w:val="00CA28DB"/>
    <w:rsid w:val="00CA2E85"/>
    <w:rsid w:val="00CA3ADD"/>
    <w:rsid w:val="00CA4007"/>
    <w:rsid w:val="00CA6AE7"/>
    <w:rsid w:val="00CA75B2"/>
    <w:rsid w:val="00CB1E19"/>
    <w:rsid w:val="00CB2043"/>
    <w:rsid w:val="00CB2790"/>
    <w:rsid w:val="00CB315B"/>
    <w:rsid w:val="00CB505F"/>
    <w:rsid w:val="00CB7939"/>
    <w:rsid w:val="00CC4718"/>
    <w:rsid w:val="00CC5451"/>
    <w:rsid w:val="00CC63EC"/>
    <w:rsid w:val="00CC6D1A"/>
    <w:rsid w:val="00CC717D"/>
    <w:rsid w:val="00CD5AA0"/>
    <w:rsid w:val="00CE3166"/>
    <w:rsid w:val="00CE3EFF"/>
    <w:rsid w:val="00CE3F94"/>
    <w:rsid w:val="00CE53AB"/>
    <w:rsid w:val="00CF01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17CBA"/>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127F"/>
    <w:rsid w:val="00D53B76"/>
    <w:rsid w:val="00D548C8"/>
    <w:rsid w:val="00D54ED4"/>
    <w:rsid w:val="00D554B6"/>
    <w:rsid w:val="00D5652B"/>
    <w:rsid w:val="00D5727D"/>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0BB9"/>
    <w:rsid w:val="00DD4545"/>
    <w:rsid w:val="00DD47C1"/>
    <w:rsid w:val="00DD5D6B"/>
    <w:rsid w:val="00DD622B"/>
    <w:rsid w:val="00DD6CB9"/>
    <w:rsid w:val="00DE1BD0"/>
    <w:rsid w:val="00DE1FCB"/>
    <w:rsid w:val="00DE27F8"/>
    <w:rsid w:val="00DE4F13"/>
    <w:rsid w:val="00DE55A6"/>
    <w:rsid w:val="00DE693B"/>
    <w:rsid w:val="00DF2E9A"/>
    <w:rsid w:val="00DF3F0F"/>
    <w:rsid w:val="00DF43D5"/>
    <w:rsid w:val="00DF518B"/>
    <w:rsid w:val="00DF7447"/>
    <w:rsid w:val="00E010D9"/>
    <w:rsid w:val="00E02AD8"/>
    <w:rsid w:val="00E02B61"/>
    <w:rsid w:val="00E04D0A"/>
    <w:rsid w:val="00E06388"/>
    <w:rsid w:val="00E07955"/>
    <w:rsid w:val="00E14905"/>
    <w:rsid w:val="00E17087"/>
    <w:rsid w:val="00E22652"/>
    <w:rsid w:val="00E23A71"/>
    <w:rsid w:val="00E24BEE"/>
    <w:rsid w:val="00E253AF"/>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9C"/>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43BA"/>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106"/>
    <w:rsid w:val="00F91B33"/>
    <w:rsid w:val="00F9528F"/>
    <w:rsid w:val="00F9776C"/>
    <w:rsid w:val="00FA05C8"/>
    <w:rsid w:val="00FA1112"/>
    <w:rsid w:val="00FA11D6"/>
    <w:rsid w:val="00FA1C73"/>
    <w:rsid w:val="00FA2FE9"/>
    <w:rsid w:val="00FB0C03"/>
    <w:rsid w:val="00FB2A58"/>
    <w:rsid w:val="00FB32DA"/>
    <w:rsid w:val="00FC0F17"/>
    <w:rsid w:val="00FC1BAA"/>
    <w:rsid w:val="00FC1DE0"/>
    <w:rsid w:val="00FC48EB"/>
    <w:rsid w:val="00FC50FD"/>
    <w:rsid w:val="00FC5123"/>
    <w:rsid w:val="00FC69D8"/>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Normal"/>
    <w:link w:val="FootnoteReference"/>
    <w:rsid w:val="00F9776C"/>
    <w:pPr>
      <w:spacing w:after="160" w:line="240" w:lineRule="exact"/>
    </w:pPr>
    <w:rPr>
      <w:rFonts w:eastAsiaTheme="minorHAnsi"/>
      <w:szCs w:val="22"/>
      <w:vertAlign w:val="superscript"/>
      <w:lang w:eastAsia="en-US"/>
    </w:rPr>
  </w:style>
  <w:style w:type="character" w:styleId="PlaceholderText">
    <w:name w:val="Placeholder Text"/>
    <w:basedOn w:val="DefaultParagraphFont"/>
    <w:uiPriority w:val="99"/>
    <w:semiHidden/>
    <w:rsid w:val="00EF43BA"/>
    <w:rPr>
      <w:color w:val="808080"/>
    </w:rPr>
  </w:style>
  <w:style w:type="character" w:customStyle="1" w:styleId="no-parag">
    <w:name w:val="no-parag"/>
    <w:basedOn w:val="DefaultParagraphFont"/>
    <w:rsid w:val="00D5727D"/>
  </w:style>
  <w:style w:type="character" w:customStyle="1" w:styleId="italics">
    <w:name w:val="italics"/>
    <w:basedOn w:val="DefaultParagraphFont"/>
    <w:rsid w:val="00D5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9918</Words>
  <Characters>5654</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2025-02-25T07:33:00Z</dcterms:created>
  <dcterms:modified xsi:type="dcterms:W3CDTF">2025-02-25T07:33:00Z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