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7D279632" w:rsidR="0036662A" w:rsidRDefault="0036662A" w:rsidP="00DD3616">
      <w:pPr>
        <w:jc w:val="center"/>
        <w:rPr>
          <w:b/>
          <w:bCs/>
          <w:caps/>
        </w:rPr>
      </w:pPr>
      <w:r w:rsidRPr="00017566">
        <w:rPr>
          <w:b/>
          <w:bCs/>
        </w:rPr>
        <w:t xml:space="preserve">SOCIALINIŲ IR EKONOMINIŲ PARTNERIŲ </w:t>
      </w:r>
      <w:r w:rsidRPr="00E8185E">
        <w:rPr>
          <w:rFonts w:ascii="Times New Roman Bold" w:hAnsi="Times New Roman Bold"/>
          <w:b/>
          <w:bCs/>
          <w:caps/>
        </w:rPr>
        <w:t xml:space="preserve">PATEIKTŲ PASTABŲ IR PASIŪLYMŲ DĖL </w:t>
      </w:r>
      <w:r w:rsidR="00A323E0" w:rsidRPr="00E8185E">
        <w:rPr>
          <w:rFonts w:ascii="Times New Roman Bold" w:hAnsi="Times New Roman Bold"/>
          <w:b/>
          <w:bCs/>
          <w:caps/>
        </w:rPr>
        <w:t xml:space="preserve">2022–2030 METŲ EKONOMIKOS TRANSFORMACIJOS IR KONKURENCINGUMO PLĖTROS PROGRAMOS </w:t>
      </w:r>
      <w:r w:rsidR="00E8185E">
        <w:rPr>
          <w:rFonts w:ascii="Times New Roman Bold" w:hAnsi="Times New Roman Bold"/>
          <w:b/>
          <w:bCs/>
          <w:caps/>
        </w:rPr>
        <w:t xml:space="preserve">PAŽANGOS PRIEMONĖS </w:t>
      </w:r>
      <w:r w:rsidR="00E8185E" w:rsidRPr="00E8185E">
        <w:rPr>
          <w:rFonts w:ascii="Times New Roman Bold" w:hAnsi="Times New Roman Bold"/>
          <w:b/>
          <w:bCs/>
          <w:caps/>
        </w:rPr>
        <w:t xml:space="preserve">Nr. </w:t>
      </w:r>
      <w:r w:rsidR="00F218A9" w:rsidRPr="006A24D6">
        <w:rPr>
          <w:b/>
          <w:caps/>
          <w:szCs w:val="24"/>
        </w:rPr>
        <w:t>05-001-01-05-05 „SKATINTI ĮMONES SKAITMENIZUOTIS“</w:t>
      </w:r>
      <w:r w:rsidR="00F218A9">
        <w:rPr>
          <w:b/>
          <w:caps/>
          <w:szCs w:val="24"/>
        </w:rPr>
        <w:t xml:space="preserve"> </w:t>
      </w:r>
      <w:r w:rsidR="00E8185E" w:rsidRPr="00E8185E">
        <w:rPr>
          <w:rFonts w:ascii="Times New Roman Bold" w:hAnsi="Times New Roman Bold"/>
          <w:b/>
          <w:bCs/>
          <w:caps/>
        </w:rPr>
        <w:t>veikl</w:t>
      </w:r>
      <w:r w:rsidR="00F218A9">
        <w:rPr>
          <w:rFonts w:ascii="Times New Roman Bold" w:hAnsi="Times New Roman Bold"/>
          <w:b/>
          <w:bCs/>
          <w:caps/>
        </w:rPr>
        <w:t>OS</w:t>
      </w:r>
      <w:r w:rsidR="00E8185E" w:rsidRPr="00E8185E">
        <w:rPr>
          <w:rFonts w:ascii="Times New Roman Bold" w:hAnsi="Times New Roman Bold"/>
          <w:b/>
          <w:bCs/>
          <w:caps/>
        </w:rPr>
        <w:t xml:space="preserve"> </w:t>
      </w:r>
      <w:r w:rsidR="00F218A9">
        <w:rPr>
          <w:rFonts w:ascii="Times New Roman Bold" w:hAnsi="Times New Roman Bold"/>
          <w:b/>
          <w:bCs/>
          <w:caps/>
        </w:rPr>
        <w:t>„</w:t>
      </w:r>
      <w:r w:rsidR="00F218A9" w:rsidRPr="00F218A9">
        <w:rPr>
          <w:rFonts w:ascii="Times New Roman Bold" w:hAnsi="Times New Roman Bold"/>
          <w:b/>
          <w:bCs/>
          <w:caps/>
        </w:rPr>
        <w:t>Skatinti labai mažas, mažas ir vidutines įmones (toliau – MVĮ) vystyti dirbtinio intelekto (toliau – DI) sprendimus (Vidurio ir vakarų Lietuvos regionas)“</w:t>
      </w:r>
      <w:r w:rsidR="00F218A9">
        <w:rPr>
          <w:i/>
          <w:iCs/>
          <w:szCs w:val="24"/>
        </w:rPr>
        <w:t xml:space="preserve"> </w:t>
      </w:r>
      <w:r w:rsidR="00A323E0" w:rsidRPr="00E8185E">
        <w:rPr>
          <w:rFonts w:ascii="Times New Roman Bold" w:hAnsi="Times New Roman Bold"/>
          <w:b/>
          <w:bCs/>
          <w:caps/>
        </w:rPr>
        <w:t>PROJEKTŲ ATRANKOS</w:t>
      </w:r>
      <w:r w:rsidR="00A323E0" w:rsidRPr="00FA1A39">
        <w:rPr>
          <w:b/>
          <w:bCs/>
          <w:caps/>
        </w:rPr>
        <w:t xml:space="preserve"> KRITERIJŲ DERINIMAS</w:t>
      </w:r>
    </w:p>
    <w:p w14:paraId="15324480" w14:textId="447A9587" w:rsidR="005A640D" w:rsidRDefault="005A640D" w:rsidP="00DD3616">
      <w:pPr>
        <w:jc w:val="center"/>
        <w:rPr>
          <w:b/>
          <w:bCs/>
          <w:caps/>
        </w:rPr>
      </w:pPr>
    </w:p>
    <w:p w14:paraId="33019844" w14:textId="77777777" w:rsidR="005A640D" w:rsidRPr="00B1094E" w:rsidRDefault="005A640D" w:rsidP="005A640D">
      <w:pPr>
        <w:jc w:val="both"/>
        <w:rPr>
          <w:b/>
          <w:i/>
          <w:iCs/>
          <w:szCs w:val="24"/>
        </w:rPr>
      </w:pPr>
      <w:r w:rsidRPr="00B1094E">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23C9E81D" w:rsidR="0036662A" w:rsidRPr="00E8185E" w:rsidRDefault="00F65129" w:rsidP="00335D39">
            <w:pPr>
              <w:rPr>
                <w:szCs w:val="24"/>
                <w:lang w:val="en-US"/>
              </w:rPr>
            </w:pPr>
            <w:r w:rsidRPr="00017566">
              <w:rPr>
                <w:szCs w:val="24"/>
              </w:rPr>
              <w:t>202</w:t>
            </w:r>
            <w:r w:rsidR="00E8185E">
              <w:rPr>
                <w:szCs w:val="24"/>
                <w:lang w:val="en-US"/>
              </w:rPr>
              <w:t>5-0</w:t>
            </w:r>
            <w:r w:rsidR="00F218A9">
              <w:rPr>
                <w:szCs w:val="24"/>
                <w:lang w:val="en-US"/>
              </w:rPr>
              <w:t>6</w:t>
            </w:r>
            <w:r w:rsidR="00E8185E">
              <w:rPr>
                <w:szCs w:val="24"/>
                <w:lang w:val="en-US"/>
              </w:rPr>
              <w:t>-</w:t>
            </w:r>
            <w:r w:rsidR="00F218A9">
              <w:rPr>
                <w:szCs w:val="24"/>
                <w:lang w:val="en-US"/>
              </w:rPr>
              <w:t>26</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6F756260" w:rsidR="0036662A" w:rsidRPr="00017566" w:rsidRDefault="001E7146" w:rsidP="0070221E">
            <w:pPr>
              <w:rPr>
                <w:szCs w:val="24"/>
              </w:rPr>
            </w:pPr>
            <w:sdt>
              <w:sdtPr>
                <w:id w:val="-338542889"/>
              </w:sdtPr>
              <w:sdtEndPr/>
              <w:sdtContent>
                <w:r w:rsidR="00EF52E1">
                  <w:fldChar w:fldCharType="begin">
                    <w:ffData>
                      <w:name w:val=""/>
                      <w:enabled/>
                      <w:calcOnExit w:val="0"/>
                      <w:checkBox>
                        <w:sizeAuto/>
                        <w:default w:val="0"/>
                      </w:checkBox>
                    </w:ffData>
                  </w:fldChar>
                </w:r>
                <w:r w:rsidR="00EF52E1">
                  <w:instrText xml:space="preserve"> FORMCHECKBOX </w:instrText>
                </w:r>
                <w:r w:rsidR="00EF52E1">
                  <w:fldChar w:fldCharType="separate"/>
                </w:r>
                <w:r w:rsidR="00EF52E1">
                  <w:fldChar w:fldCharType="end"/>
                </w:r>
              </w:sdtContent>
            </w:sdt>
            <w:r w:rsidR="00015942" w:rsidRPr="00017566">
              <w:rPr>
                <w:szCs w:val="24"/>
              </w:rPr>
              <w:t xml:space="preserve"> </w:t>
            </w:r>
            <w:r w:rsidR="0036662A" w:rsidRPr="00017566">
              <w:rPr>
                <w:szCs w:val="24"/>
              </w:rPr>
              <w:t xml:space="preserve">Taip </w:t>
            </w:r>
            <w:sdt>
              <w:sdtPr>
                <w:id w:val="-1548671976"/>
              </w:sdtPr>
              <w:sdtEndPr/>
              <w:sdtContent>
                <w:sdt>
                  <w:sdtPr>
                    <w:id w:val="-1485691649"/>
                  </w:sdtPr>
                  <w:sdtEndPr/>
                  <w:sdtContent>
                    <w:r w:rsidR="00EF52E1">
                      <w:fldChar w:fldCharType="begin">
                        <w:ffData>
                          <w:name w:val=""/>
                          <w:enabled/>
                          <w:calcOnExit w:val="0"/>
                          <w:checkBox>
                            <w:sizeAuto/>
                            <w:default w:val="1"/>
                          </w:checkBox>
                        </w:ffData>
                      </w:fldChar>
                    </w:r>
                    <w:r w:rsidR="00EF52E1">
                      <w:instrText xml:space="preserve"> FORMCHECKBOX </w:instrText>
                    </w:r>
                    <w:r w:rsidR="00EF52E1">
                      <w:fldChar w:fldCharType="separate"/>
                    </w:r>
                    <w:r w:rsidR="00EF52E1">
                      <w:fldChar w:fldCharType="end"/>
                    </w:r>
                  </w:sdtContent>
                </w:sdt>
                <w:r w:rsidR="00EF52E1">
                  <w:t xml:space="preserve"> </w:t>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TableGrid"/>
        <w:tblW w:w="14771" w:type="dxa"/>
        <w:tblInd w:w="108" w:type="dxa"/>
        <w:tblLayout w:type="fixed"/>
        <w:tblLook w:val="04A0" w:firstRow="1" w:lastRow="0" w:firstColumn="1" w:lastColumn="0" w:noHBand="0" w:noVBand="1"/>
      </w:tblPr>
      <w:tblGrid>
        <w:gridCol w:w="567"/>
        <w:gridCol w:w="1560"/>
        <w:gridCol w:w="5698"/>
        <w:gridCol w:w="6946"/>
      </w:tblGrid>
      <w:tr w:rsidR="0036662A" w:rsidRPr="00C85D29" w14:paraId="6A4E2F17" w14:textId="77777777" w:rsidTr="00F218A9">
        <w:tc>
          <w:tcPr>
            <w:tcW w:w="567" w:type="dxa"/>
          </w:tcPr>
          <w:p w14:paraId="025A5EA9" w14:textId="77777777" w:rsidR="0036662A" w:rsidRPr="00C85D29" w:rsidRDefault="0036662A" w:rsidP="00335D39">
            <w:pPr>
              <w:jc w:val="center"/>
              <w:rPr>
                <w:b/>
                <w:szCs w:val="24"/>
              </w:rPr>
            </w:pPr>
            <w:r w:rsidRPr="00C85D29">
              <w:rPr>
                <w:b/>
                <w:szCs w:val="24"/>
              </w:rPr>
              <w:t>Nr.</w:t>
            </w:r>
          </w:p>
        </w:tc>
        <w:tc>
          <w:tcPr>
            <w:tcW w:w="1560" w:type="dxa"/>
          </w:tcPr>
          <w:p w14:paraId="5FEE2DEB" w14:textId="77777777" w:rsidR="0036662A" w:rsidRPr="00C85D29" w:rsidRDefault="0036662A" w:rsidP="00335D39">
            <w:pPr>
              <w:jc w:val="center"/>
              <w:rPr>
                <w:b/>
                <w:szCs w:val="24"/>
              </w:rPr>
            </w:pPr>
            <w:r w:rsidRPr="00C85D29">
              <w:rPr>
                <w:b/>
                <w:szCs w:val="24"/>
              </w:rPr>
              <w:t>Institucija</w:t>
            </w:r>
          </w:p>
        </w:tc>
        <w:tc>
          <w:tcPr>
            <w:tcW w:w="5698" w:type="dxa"/>
          </w:tcPr>
          <w:p w14:paraId="4F6476E0" w14:textId="77777777" w:rsidR="0036662A" w:rsidRPr="00C85D29" w:rsidRDefault="0036662A" w:rsidP="00335D39">
            <w:pPr>
              <w:jc w:val="center"/>
              <w:rPr>
                <w:b/>
                <w:szCs w:val="24"/>
              </w:rPr>
            </w:pPr>
            <w:r w:rsidRPr="00C85D29">
              <w:rPr>
                <w:b/>
                <w:bCs/>
              </w:rPr>
              <w:t>Pastabos ir pasiūlymai</w:t>
            </w:r>
          </w:p>
        </w:tc>
        <w:tc>
          <w:tcPr>
            <w:tcW w:w="6946"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256152" w:rsidRPr="00C85D29" w14:paraId="281D077B" w14:textId="77777777" w:rsidTr="00F218A9">
        <w:tc>
          <w:tcPr>
            <w:tcW w:w="567" w:type="dxa"/>
          </w:tcPr>
          <w:p w14:paraId="66C96C52" w14:textId="5A535EDC" w:rsidR="00256152" w:rsidRPr="00C85D29" w:rsidRDefault="00256152" w:rsidP="00335D39">
            <w:pPr>
              <w:jc w:val="center"/>
              <w:rPr>
                <w:bCs/>
                <w:szCs w:val="24"/>
              </w:rPr>
            </w:pPr>
            <w:r w:rsidRPr="00C85D29">
              <w:rPr>
                <w:bCs/>
                <w:szCs w:val="24"/>
              </w:rPr>
              <w:t>1.</w:t>
            </w:r>
          </w:p>
        </w:tc>
        <w:tc>
          <w:tcPr>
            <w:tcW w:w="1560" w:type="dxa"/>
            <w:vMerge w:val="restart"/>
          </w:tcPr>
          <w:p w14:paraId="584D81CC" w14:textId="4892D2AF" w:rsidR="00256152" w:rsidRPr="00545CE9" w:rsidRDefault="00256152" w:rsidP="00CA3ADD">
            <w:pPr>
              <w:rPr>
                <w:b/>
                <w:bCs/>
                <w:szCs w:val="24"/>
                <w:lang w:val="pt-BR"/>
              </w:rPr>
            </w:pPr>
            <w:r>
              <w:rPr>
                <w:b/>
                <w:bCs/>
                <w:szCs w:val="24"/>
                <w:lang w:val="pt-BR"/>
              </w:rPr>
              <w:t>UAB “Sintesi consulting”</w:t>
            </w:r>
          </w:p>
        </w:tc>
        <w:tc>
          <w:tcPr>
            <w:tcW w:w="5698" w:type="dxa"/>
          </w:tcPr>
          <w:p w14:paraId="307945A7" w14:textId="559A0D5F" w:rsidR="00256152" w:rsidRPr="007F3956" w:rsidRDefault="00256152" w:rsidP="00545CE9">
            <w:pPr>
              <w:jc w:val="both"/>
              <w:rPr>
                <w:lang w:val="pt-BR"/>
              </w:rPr>
            </w:pPr>
            <w:r w:rsidRPr="00F218A9">
              <w:rPr>
                <w:lang w:val="pt-BR"/>
              </w:rPr>
              <w:t>Atsižvelgiant į tai, kad kriterijus Nr. 2 numato, kad pareiškėjai gali būti tik IRT arba pramonės srityje veikiančios įmonės, o kriterijus Nr. 5 numato, kad pareiškėjas per pastaruosius du metus turi būti gavęs ne mažiau nei 50 000 eurų už inovatyvių sprendimų (naudojant DI) sukūrimą, mūsų nuomone, kriterijus Nr. 5 pernelyg diskriminuoja pramonės įmones, atsižvelgiant į tai, kad pareiškėjams, veikiant IRT srityje, pasiekti 50 000 eurų ribą už DI sprendimų pardavimą yra žymiai lengviau negu tiems pareiškėjams, kurie yra pramonės įmones (pažymime, kad pramonės įmonių veikla orientuota į gamybą, o ne IRT spredimų vyst</w:t>
            </w:r>
            <w:r w:rsidR="007F3956">
              <w:rPr>
                <w:lang w:val="pt-BR"/>
              </w:rPr>
              <w:t>y</w:t>
            </w:r>
            <w:r w:rsidRPr="00F218A9">
              <w:rPr>
                <w:lang w:val="pt-BR"/>
              </w:rPr>
              <w:t xml:space="preserve">mą ir komercializavimą). Siekiant išvengti rizikos, jog šis </w:t>
            </w:r>
            <w:r w:rsidRPr="00F218A9">
              <w:rPr>
                <w:lang w:val="pt-BR"/>
              </w:rPr>
              <w:lastRenderedPageBreak/>
              <w:t>kriterijus lems, kad aukštesnius naudos ir kokybės vertinimo balus gaus išimtinai IRT įmonės, siūlome apsvarstyti galimybę formuoti dvi atskiras konkursines eiles – vieną IRT įmonėms, vieną pramonės įmonėms</w:t>
            </w:r>
            <w:r w:rsidR="007F3956">
              <w:rPr>
                <w:lang w:val="pt-BR"/>
              </w:rPr>
              <w:t>.</w:t>
            </w:r>
          </w:p>
        </w:tc>
        <w:tc>
          <w:tcPr>
            <w:tcW w:w="6946" w:type="dxa"/>
          </w:tcPr>
          <w:p w14:paraId="0528025A" w14:textId="77777777" w:rsidR="00256152" w:rsidRPr="00A47F32" w:rsidRDefault="00682547" w:rsidP="00682547">
            <w:pPr>
              <w:pStyle w:val="NoSpacing"/>
              <w:tabs>
                <w:tab w:val="left" w:pos="552"/>
              </w:tabs>
              <w:jc w:val="both"/>
              <w:rPr>
                <w:rFonts w:ascii="Times New Roman" w:hAnsi="Times New Roman"/>
                <w:bCs/>
                <w:sz w:val="24"/>
                <w:szCs w:val="24"/>
              </w:rPr>
            </w:pPr>
            <w:r w:rsidRPr="00A47F32">
              <w:rPr>
                <w:rFonts w:ascii="Times New Roman" w:hAnsi="Times New Roman"/>
                <w:bCs/>
                <w:sz w:val="24"/>
                <w:szCs w:val="24"/>
              </w:rPr>
              <w:lastRenderedPageBreak/>
              <w:t>Neatsižvelgta.</w:t>
            </w:r>
          </w:p>
          <w:p w14:paraId="3771E9A4" w14:textId="737CE894" w:rsidR="00682547" w:rsidRPr="00C27ED7" w:rsidRDefault="00682547" w:rsidP="00682547">
            <w:pPr>
              <w:pStyle w:val="NoSpacing"/>
              <w:tabs>
                <w:tab w:val="left" w:pos="552"/>
              </w:tabs>
              <w:jc w:val="both"/>
              <w:rPr>
                <w:rFonts w:ascii="Times New Roman" w:hAnsi="Times New Roman"/>
                <w:b/>
                <w:sz w:val="24"/>
                <w:szCs w:val="24"/>
              </w:rPr>
            </w:pPr>
            <w:r w:rsidRPr="00682547">
              <w:rPr>
                <w:rFonts w:ascii="Times New Roman" w:eastAsia="Times New Roman" w:hAnsi="Times New Roman"/>
                <w:sz w:val="24"/>
                <w:szCs w:val="20"/>
                <w:lang w:eastAsia="lt-LT"/>
              </w:rPr>
              <w:t>Veikla yra skirta vystyti di</w:t>
            </w:r>
            <w:r>
              <w:rPr>
                <w:rFonts w:ascii="Times New Roman" w:eastAsia="Times New Roman" w:hAnsi="Times New Roman"/>
                <w:sz w:val="24"/>
                <w:szCs w:val="20"/>
                <w:lang w:eastAsia="lt-LT"/>
              </w:rPr>
              <w:t xml:space="preserve">rbtinio intelekto (toliau – </w:t>
            </w:r>
            <w:r w:rsidRPr="00682547">
              <w:rPr>
                <w:rFonts w:ascii="Times New Roman" w:eastAsia="Times New Roman" w:hAnsi="Times New Roman"/>
                <w:sz w:val="24"/>
                <w:szCs w:val="20"/>
                <w:lang w:eastAsia="lt-LT"/>
              </w:rPr>
              <w:t>DI</w:t>
            </w:r>
            <w:r>
              <w:rPr>
                <w:rFonts w:ascii="Times New Roman" w:eastAsia="Times New Roman" w:hAnsi="Times New Roman"/>
                <w:sz w:val="24"/>
                <w:szCs w:val="20"/>
                <w:lang w:eastAsia="lt-LT"/>
              </w:rPr>
              <w:t>)</w:t>
            </w:r>
            <w:r w:rsidRPr="00682547">
              <w:rPr>
                <w:rFonts w:ascii="Times New Roman" w:eastAsia="Times New Roman" w:hAnsi="Times New Roman"/>
                <w:sz w:val="24"/>
                <w:szCs w:val="20"/>
                <w:lang w:eastAsia="lt-LT"/>
              </w:rPr>
              <w:t xml:space="preserve"> produktus ir (arba) sprendimus, kurie vėliau galėtų būti panaudojami ir kitų rinkos dalyvių. </w:t>
            </w:r>
            <w:r w:rsidRPr="00A27DBB">
              <w:rPr>
                <w:rFonts w:ascii="Times New Roman" w:eastAsia="Times New Roman" w:hAnsi="Times New Roman"/>
                <w:sz w:val="24"/>
                <w:szCs w:val="20"/>
                <w:lang w:eastAsia="lt-LT"/>
              </w:rPr>
              <w:t xml:space="preserve">Taip pat ši veikla sieks produkto rodiklio „Sukurti dirbtinio intelekto produktai ir (arba) sprendimai pagal atitinkamos stadijos rezultatą“, kurio rodiklio kortelėje, patvirtintoje 2025 m. birželio 26 d. ekonomikos ir inovacijų ministro įsakymu Nr. 4-303 yra apibrėžta, kad „Produktas ir (arba) sprendimas – prekė (materialus ar nematerialus turtas) ir (arba) paslauga. </w:t>
            </w:r>
            <w:r w:rsidRPr="001011F0">
              <w:rPr>
                <w:rFonts w:ascii="Times New Roman" w:eastAsia="Times New Roman" w:hAnsi="Times New Roman"/>
                <w:sz w:val="24"/>
                <w:szCs w:val="20"/>
                <w:lang w:eastAsia="lt-LT"/>
              </w:rPr>
              <w:t xml:space="preserve">Produktas ir (arba) sprendimas negali būti skirtas tik pareiškėjui ar kitam konkrečiam fiziniam ar juridiniam asmeniui, turi būti tinkamas ir kitoms įmonėms.“ Taip siekiama, kad veiklų poveikis būtų platesnis ir teiktų didesnę ekonominę naudą. </w:t>
            </w:r>
            <w:r w:rsidR="001011F0">
              <w:rPr>
                <w:rFonts w:ascii="Times New Roman" w:eastAsia="Times New Roman" w:hAnsi="Times New Roman"/>
                <w:sz w:val="24"/>
                <w:szCs w:val="20"/>
                <w:lang w:eastAsia="lt-LT"/>
              </w:rPr>
              <w:t>I</w:t>
            </w:r>
            <w:r w:rsidRPr="001011F0">
              <w:rPr>
                <w:rFonts w:ascii="Times New Roman" w:eastAsia="Times New Roman" w:hAnsi="Times New Roman"/>
                <w:sz w:val="24"/>
                <w:szCs w:val="20"/>
                <w:lang w:eastAsia="lt-LT"/>
              </w:rPr>
              <w:t xml:space="preserve">šskirtos šios dvi sritys yra pajėgiausios sukurti plačiam naudojimui </w:t>
            </w:r>
            <w:r w:rsidRPr="001011F0">
              <w:rPr>
                <w:rFonts w:ascii="Times New Roman" w:eastAsia="Times New Roman" w:hAnsi="Times New Roman"/>
                <w:sz w:val="24"/>
                <w:szCs w:val="20"/>
                <w:lang w:eastAsia="lt-LT"/>
              </w:rPr>
              <w:lastRenderedPageBreak/>
              <w:t>tinkamus DI produkt</w:t>
            </w:r>
            <w:r w:rsidR="001011F0">
              <w:rPr>
                <w:rFonts w:ascii="Times New Roman" w:eastAsia="Times New Roman" w:hAnsi="Times New Roman"/>
                <w:sz w:val="24"/>
                <w:szCs w:val="20"/>
                <w:lang w:eastAsia="lt-LT"/>
              </w:rPr>
              <w:t>u</w:t>
            </w:r>
            <w:r w:rsidRPr="001011F0">
              <w:rPr>
                <w:rFonts w:ascii="Times New Roman" w:eastAsia="Times New Roman" w:hAnsi="Times New Roman"/>
                <w:sz w:val="24"/>
                <w:szCs w:val="20"/>
                <w:lang w:eastAsia="lt-LT"/>
              </w:rPr>
              <w:t>s ir (arba) sprendimus ir jų išskirti į atskiras eiles nėra tikslinga.</w:t>
            </w:r>
          </w:p>
        </w:tc>
      </w:tr>
      <w:tr w:rsidR="00256152" w:rsidRPr="00C85D29" w14:paraId="6DB3E915" w14:textId="77777777" w:rsidTr="00F218A9">
        <w:tc>
          <w:tcPr>
            <w:tcW w:w="567" w:type="dxa"/>
          </w:tcPr>
          <w:p w14:paraId="7BB174DB" w14:textId="1C2EED95" w:rsidR="00256152" w:rsidRPr="00C85D29" w:rsidRDefault="00256152" w:rsidP="00335D39">
            <w:pPr>
              <w:jc w:val="center"/>
              <w:rPr>
                <w:bCs/>
                <w:szCs w:val="24"/>
              </w:rPr>
            </w:pPr>
            <w:r>
              <w:rPr>
                <w:bCs/>
                <w:szCs w:val="24"/>
              </w:rPr>
              <w:lastRenderedPageBreak/>
              <w:t>2.</w:t>
            </w:r>
          </w:p>
        </w:tc>
        <w:tc>
          <w:tcPr>
            <w:tcW w:w="1560" w:type="dxa"/>
            <w:vMerge/>
          </w:tcPr>
          <w:p w14:paraId="61DCF54F" w14:textId="6E5069D3" w:rsidR="00256152" w:rsidRPr="00191A6E" w:rsidRDefault="00256152" w:rsidP="00CA3ADD">
            <w:pPr>
              <w:rPr>
                <w:b/>
                <w:bCs/>
                <w:szCs w:val="24"/>
              </w:rPr>
            </w:pPr>
          </w:p>
        </w:tc>
        <w:tc>
          <w:tcPr>
            <w:tcW w:w="5698" w:type="dxa"/>
          </w:tcPr>
          <w:p w14:paraId="74BBCC5C" w14:textId="280854FE" w:rsidR="00256152" w:rsidRPr="00D15917" w:rsidRDefault="00256152" w:rsidP="000B389E">
            <w:pPr>
              <w:spacing w:before="100" w:beforeAutospacing="1" w:after="100" w:afterAutospacing="1"/>
              <w:jc w:val="both"/>
              <w:rPr>
                <w:szCs w:val="24"/>
              </w:rPr>
            </w:pPr>
            <w:r w:rsidRPr="00F218A9">
              <w:rPr>
                <w:color w:val="000000"/>
              </w:rPr>
              <w:t>Siūlome atrankos kriterijaus Nr.</w:t>
            </w:r>
            <w:r w:rsidR="000B389E">
              <w:rPr>
                <w:color w:val="000000"/>
              </w:rPr>
              <w:t xml:space="preserve"> </w:t>
            </w:r>
            <w:r w:rsidRPr="00F218A9">
              <w:rPr>
                <w:color w:val="000000"/>
              </w:rPr>
              <w:t>5 atveju vertinti ne tik įmonės</w:t>
            </w:r>
            <w:r w:rsidR="007F3956">
              <w:rPr>
                <w:color w:val="000000"/>
              </w:rPr>
              <w:t xml:space="preserve">, </w:t>
            </w:r>
            <w:r w:rsidRPr="00F218A9">
              <w:rPr>
                <w:color w:val="000000"/>
              </w:rPr>
              <w:t>bet ir/ar įmonės komandos narių patirtį</w:t>
            </w:r>
            <w:r w:rsidR="000B389E">
              <w:rPr>
                <w:color w:val="000000"/>
              </w:rPr>
              <w:t>,</w:t>
            </w:r>
            <w:r w:rsidRPr="00F218A9">
              <w:rPr>
                <w:color w:val="000000"/>
              </w:rPr>
              <w:t xml:space="preserve"> įgyvendinant nurodyto pobūdžio projektus, atsižvelgiant į tai, kad kaip ir nurodėme anksčiau, šis kriterijus diskriminuoja pramonės įmones, kadangi pramonės įmonių vykdoma veikla orientuota į gamybą, o ne DI (IRT) sprendimų vystymą ir pardavimą</w:t>
            </w:r>
            <w:r w:rsidR="000B389E">
              <w:rPr>
                <w:color w:val="000000"/>
              </w:rPr>
              <w:t>,</w:t>
            </w:r>
            <w:r w:rsidRPr="00F218A9">
              <w:rPr>
                <w:color w:val="000000"/>
              </w:rPr>
              <w:t xml:space="preserve"> arba pramonės įmonių atveju vertinti ne parduotus</w:t>
            </w:r>
            <w:r w:rsidR="000B389E">
              <w:rPr>
                <w:color w:val="000000"/>
              </w:rPr>
              <w:t>,</w:t>
            </w:r>
            <w:r w:rsidRPr="00F218A9">
              <w:rPr>
                <w:color w:val="000000"/>
              </w:rPr>
              <w:t xml:space="preserve"> bet sukurtus ir įdiegtus vidinius nurodyto pobūdžio sprendimus įmonės viduje</w:t>
            </w:r>
            <w:r w:rsidR="000B389E">
              <w:rPr>
                <w:color w:val="000000"/>
              </w:rPr>
              <w:t>.</w:t>
            </w:r>
          </w:p>
        </w:tc>
        <w:tc>
          <w:tcPr>
            <w:tcW w:w="6946" w:type="dxa"/>
          </w:tcPr>
          <w:p w14:paraId="183D3FC5" w14:textId="77777777" w:rsidR="005E647A" w:rsidRDefault="005E647A" w:rsidP="005E647A">
            <w:pPr>
              <w:jc w:val="both"/>
            </w:pPr>
            <w:r>
              <w:t>Neatsižvelgta.</w:t>
            </w:r>
          </w:p>
          <w:p w14:paraId="639BDE81" w14:textId="05640DBA" w:rsidR="00256152" w:rsidRPr="00DD5234" w:rsidRDefault="005E647A" w:rsidP="004619C0">
            <w:pPr>
              <w:jc w:val="both"/>
              <w:rPr>
                <w:color w:val="000000" w:themeColor="text1"/>
                <w:szCs w:val="24"/>
              </w:rPr>
            </w:pPr>
            <w:r>
              <w:t>Veikla yra skirta vystyti DI produktus ir (arba) sprendimus, kurie vėliau galėtų būti panaudojami ir kitų rinkos dalyvių. Taip pat ši veikla sieks produkto rodiklio „</w:t>
            </w:r>
            <w:r w:rsidRPr="004232D5">
              <w:rPr>
                <w:szCs w:val="24"/>
              </w:rPr>
              <w:t>Sukurti dirbtinio intelekto produktai ir (arba) sprendimai pagal atitinkamos stadijos rezultatą</w:t>
            </w:r>
            <w:r>
              <w:rPr>
                <w:szCs w:val="24"/>
              </w:rPr>
              <w:t xml:space="preserve">“, kurio rodiklio kortelėje, patvirtintoje 2025 m. birželio 26 d. ekonomikos ir inovacijų ministro įsakymu Nr. 4-303 yra apibrėžta, kad </w:t>
            </w:r>
            <w:r w:rsidRPr="005B0565">
              <w:rPr>
                <w:i/>
                <w:iCs/>
                <w:szCs w:val="24"/>
              </w:rPr>
              <w:t>„</w:t>
            </w:r>
            <w:r w:rsidRPr="005B0565">
              <w:rPr>
                <w:i/>
                <w:iCs/>
                <w:color w:val="000000" w:themeColor="text1"/>
                <w:szCs w:val="24"/>
              </w:rPr>
              <w:t>Produktas ir (arba) sprendimas – prekė (materialus ar nematerialus turtas) ir (arba) paslauga. Produktas ir (arba) sprendimas negali būti skirtas tik pareiškėjui ar kitam konkrečiam fiziniam ar juridiniam asmeniui, turi būti tinkamas ir kitoms įmonėms.“</w:t>
            </w:r>
            <w:r>
              <w:rPr>
                <w:i/>
                <w:iCs/>
                <w:color w:val="000000" w:themeColor="text1"/>
                <w:szCs w:val="24"/>
              </w:rPr>
              <w:t xml:space="preserve"> </w:t>
            </w:r>
            <w:r>
              <w:rPr>
                <w:color w:val="000000" w:themeColor="text1"/>
                <w:szCs w:val="24"/>
              </w:rPr>
              <w:t>Taip siekiama, kad veiklų poveikis būtų platesnis ir teiktų didesnę ekonominę naudą.</w:t>
            </w:r>
          </w:p>
        </w:tc>
      </w:tr>
      <w:tr w:rsidR="00256152" w:rsidRPr="00C85D29" w14:paraId="3B558F4A" w14:textId="77777777" w:rsidTr="00F218A9">
        <w:tc>
          <w:tcPr>
            <w:tcW w:w="567" w:type="dxa"/>
          </w:tcPr>
          <w:p w14:paraId="55F2A58F" w14:textId="422052D6" w:rsidR="00256152" w:rsidRDefault="00256152" w:rsidP="00335D39">
            <w:pPr>
              <w:jc w:val="center"/>
              <w:rPr>
                <w:bCs/>
                <w:szCs w:val="24"/>
              </w:rPr>
            </w:pPr>
            <w:r>
              <w:rPr>
                <w:bCs/>
                <w:szCs w:val="24"/>
              </w:rPr>
              <w:t>3.</w:t>
            </w:r>
          </w:p>
        </w:tc>
        <w:tc>
          <w:tcPr>
            <w:tcW w:w="1560" w:type="dxa"/>
            <w:vMerge/>
          </w:tcPr>
          <w:p w14:paraId="58C64779" w14:textId="77777777" w:rsidR="00256152" w:rsidRPr="00191A6E" w:rsidRDefault="00256152" w:rsidP="00CA3ADD">
            <w:pPr>
              <w:rPr>
                <w:b/>
                <w:bCs/>
                <w:szCs w:val="24"/>
              </w:rPr>
            </w:pPr>
          </w:p>
        </w:tc>
        <w:tc>
          <w:tcPr>
            <w:tcW w:w="5698" w:type="dxa"/>
          </w:tcPr>
          <w:p w14:paraId="49B0D5B5" w14:textId="403D11F4" w:rsidR="00256152" w:rsidRPr="000B389E" w:rsidRDefault="00256152" w:rsidP="000B389E">
            <w:pPr>
              <w:jc w:val="both"/>
            </w:pPr>
            <w:r w:rsidRPr="00F218A9">
              <w:t>Siūlome praplėsti atrankos kriterijuje Nr. 6 nurodytą „Produkto pateikimo į rinką“ sąvoką, nurodant, kad išvystyto produkto/sprendimo sukūrimas apima ne tik galimybę šį produktą įsigyti, bet ir/ ar galimybę naudoti jį įmonės viduje, atsižvelgiant į tai, kad pramonės įmonėms gali būti palankiau vystyti vidiniuose procesuose pritaikomus dirbtinio intelekto sprendimus nei parduodamus į išorę</w:t>
            </w:r>
            <w:r w:rsidR="000B389E">
              <w:t>.</w:t>
            </w:r>
          </w:p>
        </w:tc>
        <w:tc>
          <w:tcPr>
            <w:tcW w:w="6946" w:type="dxa"/>
          </w:tcPr>
          <w:p w14:paraId="7BAD4385" w14:textId="56B7B620" w:rsidR="005B0565" w:rsidRDefault="005B0565" w:rsidP="005B0565">
            <w:pPr>
              <w:jc w:val="both"/>
            </w:pPr>
            <w:r>
              <w:t>Neatsižvelgta.</w:t>
            </w:r>
            <w:r w:rsidR="005E647A">
              <w:t xml:space="preserve"> </w:t>
            </w:r>
            <w:r w:rsidR="00E85209">
              <w:t>Žr. komentarą aukščiau.</w:t>
            </w:r>
          </w:p>
          <w:p w14:paraId="2003580C" w14:textId="67363BA2" w:rsidR="00256152" w:rsidRPr="00E9224C" w:rsidRDefault="00256152" w:rsidP="00E85209">
            <w:pPr>
              <w:jc w:val="both"/>
            </w:pPr>
          </w:p>
        </w:tc>
      </w:tr>
      <w:tr w:rsidR="00256152" w:rsidRPr="00C85D29" w14:paraId="5CFEDE33" w14:textId="77777777" w:rsidTr="00F218A9">
        <w:tc>
          <w:tcPr>
            <w:tcW w:w="567" w:type="dxa"/>
          </w:tcPr>
          <w:p w14:paraId="405484FB" w14:textId="196C5BE2" w:rsidR="00256152" w:rsidRDefault="00256152" w:rsidP="00335D39">
            <w:pPr>
              <w:jc w:val="center"/>
              <w:rPr>
                <w:bCs/>
                <w:szCs w:val="24"/>
              </w:rPr>
            </w:pPr>
            <w:r>
              <w:rPr>
                <w:bCs/>
                <w:szCs w:val="24"/>
              </w:rPr>
              <w:t>4.</w:t>
            </w:r>
          </w:p>
        </w:tc>
        <w:tc>
          <w:tcPr>
            <w:tcW w:w="1560" w:type="dxa"/>
            <w:vMerge/>
          </w:tcPr>
          <w:p w14:paraId="057E579F" w14:textId="77777777" w:rsidR="00256152" w:rsidRPr="00191A6E" w:rsidRDefault="00256152" w:rsidP="00CA3ADD">
            <w:pPr>
              <w:rPr>
                <w:b/>
                <w:bCs/>
                <w:szCs w:val="24"/>
              </w:rPr>
            </w:pPr>
          </w:p>
        </w:tc>
        <w:tc>
          <w:tcPr>
            <w:tcW w:w="5698" w:type="dxa"/>
          </w:tcPr>
          <w:p w14:paraId="12AF3122" w14:textId="4B88B13D" w:rsidR="00256152" w:rsidRPr="00F218A9" w:rsidRDefault="00256152" w:rsidP="00F218A9">
            <w:pPr>
              <w:jc w:val="both"/>
            </w:pPr>
            <w:r w:rsidRPr="00F218A9">
              <w:t xml:space="preserve">Taip pat prašome patikslinti, kaip bus vertinamas produkto pateikimas į rinką projekto įgyvendinimo metu – kadangi kriterijuje Nr. 6 yra nurodyta, jog gali būti pateikiami „&lt;...&gt; ir/arba sprendimo pardavimą pagrindžiantys dokumentai (pvz.: sąskaitos-faktūros)“, ar yra numatyta koks turėtų būti minimalus parduotų sprendimų kiekis ? Pvz.: ar vienąkart parduotas sprendimas (pateikta viena sąskaita-faktūra) būtų laikoma tinkamu produkto pateikimo į rinką įrodymu? Papildomai </w:t>
            </w:r>
            <w:r w:rsidRPr="00F218A9">
              <w:lastRenderedPageBreak/>
              <w:t>patikslinti ar projekto įgyvendinimo metu vystomi sprendimai turi turėti tiražavimo galimybę t.</w:t>
            </w:r>
            <w:r w:rsidR="005C4F5A">
              <w:t xml:space="preserve"> </w:t>
            </w:r>
            <w:r w:rsidRPr="00F218A9">
              <w:t>y. nebūti pritaikytas tik konkrečiai įmonei?</w:t>
            </w:r>
          </w:p>
          <w:p w14:paraId="5AF41858" w14:textId="77777777" w:rsidR="00256152" w:rsidRPr="00D15917" w:rsidRDefault="00256152" w:rsidP="001F7C29">
            <w:pPr>
              <w:pStyle w:val="NoSpacing"/>
              <w:jc w:val="both"/>
              <w:rPr>
                <w:rFonts w:ascii="Times New Roman" w:eastAsia="Times New Roman" w:hAnsi="Times New Roman"/>
                <w:sz w:val="24"/>
                <w:szCs w:val="24"/>
              </w:rPr>
            </w:pPr>
          </w:p>
        </w:tc>
        <w:tc>
          <w:tcPr>
            <w:tcW w:w="6946" w:type="dxa"/>
          </w:tcPr>
          <w:p w14:paraId="04F6F709" w14:textId="586EF07F" w:rsidR="003F50A1" w:rsidRPr="004232D5" w:rsidRDefault="003F50A1" w:rsidP="003F50A1">
            <w:pPr>
              <w:jc w:val="both"/>
              <w:rPr>
                <w:szCs w:val="24"/>
              </w:rPr>
            </w:pPr>
            <w:r>
              <w:lastRenderedPageBreak/>
              <w:t>Veikla sieks produkto rodiklio „</w:t>
            </w:r>
            <w:r w:rsidRPr="004232D5">
              <w:rPr>
                <w:szCs w:val="24"/>
              </w:rPr>
              <w:t>Sukurti dirbtinio intelekto produktai ir (arba) sprendimai pagal atitinkamos stadijos rezultatą</w:t>
            </w:r>
            <w:r>
              <w:rPr>
                <w:szCs w:val="24"/>
              </w:rPr>
              <w:t>“, kurio rodiklio kortelėje, patvirtintoje 2025 m. birželio 26 d. ekonomikos ir inovacijų ministro įsakymu Nr. 4-303 yra nurodyta, kad s</w:t>
            </w:r>
            <w:r w:rsidRPr="004232D5">
              <w:rPr>
                <w:szCs w:val="24"/>
              </w:rPr>
              <w:t>kaičiuojami MVĮ sukurti DI produktai ir (arba) sprendimai pagal atitinkamos stadijos (minimaliai gyvybingo produkto arba produkto pateikimo į rinką) rezultatą iki projekto pabaigos.</w:t>
            </w:r>
          </w:p>
          <w:p w14:paraId="116FCF2B" w14:textId="77777777" w:rsidR="003F50A1" w:rsidRPr="004232D5" w:rsidRDefault="003F50A1" w:rsidP="003F50A1">
            <w:pPr>
              <w:jc w:val="both"/>
              <w:rPr>
                <w:szCs w:val="24"/>
              </w:rPr>
            </w:pPr>
            <w:r w:rsidRPr="004232D5">
              <w:rPr>
                <w:szCs w:val="24"/>
              </w:rPr>
              <w:t xml:space="preserve">Jei sukurtas DI sprendimas ir (arba) produktas pasiekia abi stadijas (minimaliai gyvybingo produkto ir produkto pateikimo į rinką), </w:t>
            </w:r>
            <w:r w:rsidRPr="004232D5">
              <w:rPr>
                <w:szCs w:val="24"/>
              </w:rPr>
              <w:lastRenderedPageBreak/>
              <w:t xml:space="preserve">stebėsenos rodiklis nesumuojamas ir laikoma, kad pasiektas vienas vienetas. </w:t>
            </w:r>
          </w:p>
          <w:p w14:paraId="1A31F612" w14:textId="77777777" w:rsidR="00256152" w:rsidRDefault="003F50A1" w:rsidP="003F50A1">
            <w:pPr>
              <w:jc w:val="both"/>
              <w:rPr>
                <w:szCs w:val="24"/>
              </w:rPr>
            </w:pPr>
            <w:r w:rsidRPr="004232D5">
              <w:rPr>
                <w:szCs w:val="24"/>
              </w:rPr>
              <w:t>Jei projekto metu MVĮ sukuria kelis DI sprendimus ir (arba) produktus, jie yra skaičiuojami atskirai.</w:t>
            </w:r>
          </w:p>
          <w:p w14:paraId="4BB15D95" w14:textId="77777777" w:rsidR="003F50A1" w:rsidRDefault="003F50A1" w:rsidP="003F50A1">
            <w:pPr>
              <w:jc w:val="both"/>
              <w:rPr>
                <w:i/>
                <w:iCs/>
                <w:color w:val="000000" w:themeColor="text1"/>
                <w:szCs w:val="24"/>
              </w:rPr>
            </w:pPr>
            <w:r>
              <w:rPr>
                <w:szCs w:val="24"/>
              </w:rPr>
              <w:t xml:space="preserve">Kaip minėta komentare aukščiau, vadovaujantis rodiklio kortelėje pateiktu apibrėžimu, </w:t>
            </w:r>
            <w:r w:rsidRPr="005B0565">
              <w:rPr>
                <w:i/>
                <w:iCs/>
                <w:szCs w:val="24"/>
              </w:rPr>
              <w:t>„</w:t>
            </w:r>
            <w:r w:rsidRPr="005B0565">
              <w:rPr>
                <w:i/>
                <w:iCs/>
                <w:color w:val="000000" w:themeColor="text1"/>
                <w:szCs w:val="24"/>
              </w:rPr>
              <w:t>Produktas ir (arba) sprendimas – prekė (materialus ar nematerialus turtas) ir (arba) paslauga. Produktas ir (arba) sprendimas negali būti skirtas tik pareiškėjui ar kitam konkrečiam fiziniam ar juridiniam asmeniui, turi būti tinkamas ir kitoms įmonėms.“</w:t>
            </w:r>
          </w:p>
          <w:p w14:paraId="6156E0E7" w14:textId="4C0BFB74" w:rsidR="00EE3ADF" w:rsidRPr="00E9224C" w:rsidRDefault="00EE3ADF" w:rsidP="003F50A1">
            <w:pPr>
              <w:jc w:val="both"/>
            </w:pPr>
            <w:r>
              <w:t>V</w:t>
            </w:r>
            <w:r w:rsidRPr="00EE3ADF">
              <w:t>ienąkart parduotas sprendimas (pateikta viena sąskaita-faktūra) būtų laikoma tinkamu produkto pateikimo į rinką įrodymu</w:t>
            </w:r>
            <w:r>
              <w:t>.</w:t>
            </w:r>
          </w:p>
        </w:tc>
      </w:tr>
      <w:tr w:rsidR="00256152" w:rsidRPr="00C85D29" w14:paraId="782BBCEC" w14:textId="77777777" w:rsidTr="00F218A9">
        <w:tc>
          <w:tcPr>
            <w:tcW w:w="567" w:type="dxa"/>
          </w:tcPr>
          <w:p w14:paraId="41F8E812" w14:textId="41B5FE55" w:rsidR="00256152" w:rsidRDefault="00256152" w:rsidP="00335D39">
            <w:pPr>
              <w:jc w:val="center"/>
              <w:rPr>
                <w:bCs/>
                <w:szCs w:val="24"/>
              </w:rPr>
            </w:pPr>
            <w:r>
              <w:rPr>
                <w:bCs/>
                <w:szCs w:val="24"/>
              </w:rPr>
              <w:lastRenderedPageBreak/>
              <w:t>5.</w:t>
            </w:r>
          </w:p>
        </w:tc>
        <w:tc>
          <w:tcPr>
            <w:tcW w:w="1560" w:type="dxa"/>
            <w:vMerge/>
          </w:tcPr>
          <w:p w14:paraId="04EBCFBD" w14:textId="77777777" w:rsidR="00256152" w:rsidRPr="00191A6E" w:rsidRDefault="00256152" w:rsidP="00CA3ADD">
            <w:pPr>
              <w:rPr>
                <w:b/>
                <w:bCs/>
                <w:szCs w:val="24"/>
              </w:rPr>
            </w:pPr>
          </w:p>
        </w:tc>
        <w:tc>
          <w:tcPr>
            <w:tcW w:w="5698" w:type="dxa"/>
          </w:tcPr>
          <w:p w14:paraId="1C386B60" w14:textId="56043EDC" w:rsidR="00256152" w:rsidRPr="00256152" w:rsidRDefault="00256152" w:rsidP="00256152">
            <w:pPr>
              <w:jc w:val="both"/>
            </w:pPr>
            <w:r w:rsidRPr="00256152">
              <w:t>Galiausiai, atsižvelgiant į tai, kad atrankos kriterijuje Nr. 7 yra nurodyta, kad kuriamo sprendimo naujumo lygis bus vertinamas pagal Oslo vadovą, atkreipiame dėmesį, kad Oslo vadovas yra skirtas MTEP veiklų vykdymui, todėl prašome patikslinti/papildyti atrankos kriterijų, nurodant, ar šio projekto įgyvendinimo metu bus privaloma įgyvendinti MTEP veiklas ? Taip pat, jeigu MTEP veiklų vykdymas nebus privalomas prašome paaiškinti kaip, pagal kokius  kriterijus bus vertinamas vystomo sprendimo naujumas t.</w:t>
            </w:r>
            <w:r w:rsidR="00E1371C">
              <w:t xml:space="preserve"> </w:t>
            </w:r>
            <w:r w:rsidRPr="00256152">
              <w:t>y. kokią informaciją turės pateikti pareiškėja naujumo įvertinimui? </w:t>
            </w:r>
          </w:p>
          <w:p w14:paraId="658D26ED" w14:textId="77777777" w:rsidR="00256152" w:rsidRPr="00D15917" w:rsidRDefault="00256152" w:rsidP="001F7C29">
            <w:pPr>
              <w:pStyle w:val="NoSpacing"/>
              <w:jc w:val="both"/>
              <w:rPr>
                <w:rFonts w:ascii="Times New Roman" w:eastAsia="Times New Roman" w:hAnsi="Times New Roman"/>
                <w:sz w:val="24"/>
                <w:szCs w:val="24"/>
              </w:rPr>
            </w:pPr>
          </w:p>
        </w:tc>
        <w:tc>
          <w:tcPr>
            <w:tcW w:w="6946" w:type="dxa"/>
          </w:tcPr>
          <w:p w14:paraId="731B44CF" w14:textId="31169A82" w:rsidR="00256152" w:rsidRPr="00E9224C" w:rsidRDefault="00E97907" w:rsidP="004619C0">
            <w:pPr>
              <w:jc w:val="both"/>
            </w:pPr>
            <w:r>
              <w:t xml:space="preserve">Atkreipiame dėmesį, kad </w:t>
            </w:r>
            <w:hyperlink r:id="rId11">
              <w:r w:rsidRPr="00E97907">
                <w:t>Oslo vadovas</w:t>
              </w:r>
              <w:r w:rsidRPr="0CB81EBE">
                <w:rPr>
                  <w:i/>
                  <w:iCs/>
                </w:rPr>
                <w:t xml:space="preserve"> (Oslo </w:t>
              </w:r>
              <w:proofErr w:type="spellStart"/>
              <w:r w:rsidRPr="0CB81EBE">
                <w:rPr>
                  <w:i/>
                  <w:iCs/>
                </w:rPr>
                <w:t>manual</w:t>
              </w:r>
              <w:proofErr w:type="spellEnd"/>
              <w:r w:rsidRPr="0CB81EBE">
                <w:rPr>
                  <w:i/>
                  <w:iCs/>
                </w:rPr>
                <w:t xml:space="preserve">. </w:t>
              </w:r>
              <w:proofErr w:type="spellStart"/>
              <w:r w:rsidRPr="0CB81EBE">
                <w:rPr>
                  <w:i/>
                  <w:iCs/>
                </w:rPr>
                <w:t>Guidelines</w:t>
              </w:r>
              <w:proofErr w:type="spellEnd"/>
              <w:r w:rsidRPr="0CB81EBE">
                <w:rPr>
                  <w:i/>
                  <w:iCs/>
                </w:rPr>
                <w:t xml:space="preserve"> </w:t>
              </w:r>
              <w:proofErr w:type="spellStart"/>
              <w:r w:rsidRPr="0CB81EBE">
                <w:rPr>
                  <w:i/>
                  <w:iCs/>
                </w:rPr>
                <w:t>for</w:t>
              </w:r>
              <w:proofErr w:type="spellEnd"/>
              <w:r w:rsidRPr="0CB81EBE">
                <w:rPr>
                  <w:i/>
                  <w:iCs/>
                </w:rPr>
                <w:t xml:space="preserve"> </w:t>
              </w:r>
              <w:proofErr w:type="spellStart"/>
              <w:r w:rsidRPr="0CB81EBE">
                <w:rPr>
                  <w:i/>
                  <w:iCs/>
                </w:rPr>
                <w:t>Collecting</w:t>
              </w:r>
              <w:proofErr w:type="spellEnd"/>
              <w:r w:rsidRPr="0CB81EBE">
                <w:rPr>
                  <w:i/>
                  <w:iCs/>
                </w:rPr>
                <w:t xml:space="preserve"> </w:t>
              </w:r>
              <w:proofErr w:type="spellStart"/>
              <w:r w:rsidRPr="0CB81EBE">
                <w:rPr>
                  <w:i/>
                  <w:iCs/>
                </w:rPr>
                <w:t>and</w:t>
              </w:r>
              <w:proofErr w:type="spellEnd"/>
              <w:r w:rsidRPr="0CB81EBE">
                <w:rPr>
                  <w:i/>
                  <w:iCs/>
                </w:rPr>
                <w:t xml:space="preserve"> </w:t>
              </w:r>
              <w:proofErr w:type="spellStart"/>
              <w:r w:rsidRPr="0CB81EBE">
                <w:rPr>
                  <w:i/>
                  <w:iCs/>
                </w:rPr>
                <w:t>Interpreting</w:t>
              </w:r>
              <w:proofErr w:type="spellEnd"/>
              <w:r w:rsidRPr="0CB81EBE">
                <w:rPr>
                  <w:i/>
                  <w:iCs/>
                </w:rPr>
                <w:t xml:space="preserve"> </w:t>
              </w:r>
              <w:proofErr w:type="spellStart"/>
              <w:r w:rsidRPr="0CB81EBE">
                <w:rPr>
                  <w:i/>
                  <w:iCs/>
                </w:rPr>
                <w:t>Innovation</w:t>
              </w:r>
              <w:proofErr w:type="spellEnd"/>
              <w:r w:rsidRPr="0CB81EBE">
                <w:rPr>
                  <w:i/>
                  <w:iCs/>
                </w:rPr>
                <w:t xml:space="preserve"> Data, 4rd Edition, OECD, </w:t>
              </w:r>
              <w:proofErr w:type="spellStart"/>
              <w:r w:rsidRPr="0CB81EBE">
                <w:rPr>
                  <w:i/>
                  <w:iCs/>
                </w:rPr>
                <w:t>Eurostat</w:t>
              </w:r>
              <w:proofErr w:type="spellEnd"/>
              <w:r w:rsidRPr="0CB81EBE">
                <w:rPr>
                  <w:i/>
                  <w:iCs/>
                </w:rPr>
                <w:t>, 2018)</w:t>
              </w:r>
            </w:hyperlink>
            <w:r>
              <w:t xml:space="preserve"> yra skirtas mokslinės, technologinės ir inovacinės veiklos matavimui, o investicijos į mokslinius tyrimus ir eksperimentinę plėtrą vertinamos pagal </w:t>
            </w:r>
            <w:proofErr w:type="spellStart"/>
            <w:r>
              <w:t>Frascati</w:t>
            </w:r>
            <w:proofErr w:type="spellEnd"/>
            <w:r>
              <w:t xml:space="preserve"> vadovą, tad šiuo atveju tikslingai pasirinktas būtent Oslo vadovas, nes kuriant informacinių ryšių ir technologijų srities inovacijas nebūtinai vykdomos mokslinių tyrimų ir eksperimentinės plėtros veiklos</w:t>
            </w:r>
            <w:r w:rsidR="00823D41">
              <w:t xml:space="preserve">, todėl nebus reikalaujama projekto metu būtinai vykdyti </w:t>
            </w:r>
            <w:r w:rsidR="009231F3">
              <w:t>mokslinius tyrimus ir eksperimentinės plėtros veiklas. Vystomo sprendimo naujumo pagrindimą turės pateikti pats pareiškėjas, įvertinęs esamą informaciją rinkoje.</w:t>
            </w:r>
          </w:p>
        </w:tc>
      </w:tr>
      <w:tr w:rsidR="00EE3ADF" w:rsidRPr="00C85D29" w14:paraId="38798878" w14:textId="77777777" w:rsidTr="00F218A9">
        <w:tc>
          <w:tcPr>
            <w:tcW w:w="567" w:type="dxa"/>
          </w:tcPr>
          <w:p w14:paraId="009E06C7" w14:textId="5DF425EB" w:rsidR="00EE3ADF" w:rsidRDefault="00EE3ADF" w:rsidP="00335D39">
            <w:pPr>
              <w:jc w:val="center"/>
              <w:rPr>
                <w:bCs/>
                <w:szCs w:val="24"/>
              </w:rPr>
            </w:pPr>
            <w:r>
              <w:rPr>
                <w:bCs/>
                <w:szCs w:val="24"/>
              </w:rPr>
              <w:t xml:space="preserve">6. </w:t>
            </w:r>
          </w:p>
        </w:tc>
        <w:tc>
          <w:tcPr>
            <w:tcW w:w="1560" w:type="dxa"/>
            <w:vMerge w:val="restart"/>
          </w:tcPr>
          <w:p w14:paraId="49769E44" w14:textId="5D0550EB" w:rsidR="00EE3ADF" w:rsidRPr="00191A6E" w:rsidRDefault="00EE3ADF" w:rsidP="00CA3ADD">
            <w:pPr>
              <w:rPr>
                <w:b/>
                <w:bCs/>
                <w:szCs w:val="24"/>
              </w:rPr>
            </w:pPr>
            <w:r>
              <w:rPr>
                <w:b/>
                <w:bCs/>
                <w:szCs w:val="24"/>
              </w:rPr>
              <w:t>UAB „Sėkmės sprendimai“</w:t>
            </w:r>
          </w:p>
        </w:tc>
        <w:tc>
          <w:tcPr>
            <w:tcW w:w="5698" w:type="dxa"/>
          </w:tcPr>
          <w:p w14:paraId="396D019C" w14:textId="4B32293E" w:rsidR="00EE3ADF" w:rsidRDefault="00EE3ADF" w:rsidP="00E1371C">
            <w:pPr>
              <w:jc w:val="both"/>
            </w:pPr>
            <w:r w:rsidRPr="00256152">
              <w:t>1-mas specialusis projektų atrankos kriterijus</w:t>
            </w:r>
            <w:r>
              <w:t>.</w:t>
            </w:r>
          </w:p>
          <w:p w14:paraId="66A2635B" w14:textId="540C363B" w:rsidR="00EE3ADF" w:rsidRPr="00256152" w:rsidRDefault="00EE3ADF" w:rsidP="00E1371C">
            <w:pPr>
              <w:jc w:val="both"/>
            </w:pPr>
            <w:r w:rsidRPr="00256152">
              <w:t xml:space="preserve">Siūlome sumažinti numatytą minimalią pajamų ribą iki 50 000 Eur. Tai leis praplėsti galimų pareiškėjų ratą ir jaunomis, inovatyviomis IT įmonėmis, </w:t>
            </w:r>
            <w:proofErr w:type="spellStart"/>
            <w:r w:rsidRPr="00256152">
              <w:t>startuoliais</w:t>
            </w:r>
            <w:proofErr w:type="spellEnd"/>
            <w:r>
              <w:t>,</w:t>
            </w:r>
            <w:r w:rsidRPr="00256152">
              <w:t xml:space="preserve"> kuriančiais modernius sprendimus, bet dar nespėjusiai</w:t>
            </w:r>
            <w:r>
              <w:t>s</w:t>
            </w:r>
            <w:r w:rsidRPr="00256152">
              <w:t xml:space="preserve"> įsitvirtinti rinkoje. Investicijos į tokias įmones gali duoti ypač didelę grąžą Lietuvos ekonomikai.  </w:t>
            </w:r>
          </w:p>
        </w:tc>
        <w:tc>
          <w:tcPr>
            <w:tcW w:w="6946" w:type="dxa"/>
          </w:tcPr>
          <w:p w14:paraId="7351627F" w14:textId="77777777" w:rsidR="00EE3ADF" w:rsidRDefault="00EE3ADF" w:rsidP="004619C0">
            <w:pPr>
              <w:jc w:val="both"/>
            </w:pPr>
            <w:r>
              <w:t>Neatsižvelgta.</w:t>
            </w:r>
          </w:p>
          <w:p w14:paraId="7ECA7864" w14:textId="7D3A4061" w:rsidR="00EE3ADF" w:rsidRPr="009231F3" w:rsidRDefault="00EE3ADF" w:rsidP="004619C0">
            <w:pPr>
              <w:jc w:val="both"/>
            </w:pPr>
            <w:r>
              <w:t xml:space="preserve">Minimali pajamų riba nustatyta atsižvelgiant į numatomą didžiausią galimą gauti finansavimo sumą, kuri galės siekti virš </w:t>
            </w:r>
            <w:r w:rsidRPr="009231F3">
              <w:t>1</w:t>
            </w:r>
            <w:r>
              <w:t xml:space="preserve">00 000 </w:t>
            </w:r>
            <w:proofErr w:type="spellStart"/>
            <w:r>
              <w:t>eur</w:t>
            </w:r>
            <w:proofErr w:type="spellEnd"/>
            <w:r>
              <w:t>, todėl įmonės turės būti pajėgios prisidėti nuosavu indėliu prie projekto įgyvendinimo.</w:t>
            </w:r>
          </w:p>
        </w:tc>
      </w:tr>
      <w:tr w:rsidR="00EE3ADF" w:rsidRPr="00C85D29" w14:paraId="4A50348D" w14:textId="77777777" w:rsidTr="00F218A9">
        <w:tc>
          <w:tcPr>
            <w:tcW w:w="567" w:type="dxa"/>
          </w:tcPr>
          <w:p w14:paraId="4F776F8F" w14:textId="77777777" w:rsidR="00EE3ADF" w:rsidRDefault="00EE3ADF" w:rsidP="00335D39">
            <w:pPr>
              <w:jc w:val="center"/>
              <w:rPr>
                <w:bCs/>
                <w:szCs w:val="24"/>
              </w:rPr>
            </w:pPr>
          </w:p>
        </w:tc>
        <w:tc>
          <w:tcPr>
            <w:tcW w:w="1560" w:type="dxa"/>
            <w:vMerge/>
          </w:tcPr>
          <w:p w14:paraId="33FFA1C2" w14:textId="77777777" w:rsidR="00EE3ADF" w:rsidRPr="00191A6E" w:rsidRDefault="00EE3ADF" w:rsidP="00CA3ADD">
            <w:pPr>
              <w:rPr>
                <w:b/>
                <w:bCs/>
                <w:szCs w:val="24"/>
              </w:rPr>
            </w:pPr>
          </w:p>
        </w:tc>
        <w:tc>
          <w:tcPr>
            <w:tcW w:w="5698" w:type="dxa"/>
          </w:tcPr>
          <w:p w14:paraId="444A383D" w14:textId="3EC4C1CC" w:rsidR="00EE3ADF" w:rsidRDefault="00EE3ADF" w:rsidP="00E1371C">
            <w:pPr>
              <w:jc w:val="both"/>
            </w:pPr>
            <w:r w:rsidRPr="00256152">
              <w:t>2-ras specialusis projektų atrankos kriterijus</w:t>
            </w:r>
            <w:r>
              <w:t>.</w:t>
            </w:r>
          </w:p>
          <w:p w14:paraId="0F01DB0B" w14:textId="77777777" w:rsidR="00EE3ADF" w:rsidRDefault="00EE3ADF" w:rsidP="00E1371C">
            <w:pPr>
              <w:jc w:val="both"/>
            </w:pPr>
            <w:r w:rsidRPr="00256152">
              <w:lastRenderedPageBreak/>
              <w:t>Siūlome galimas įmonių veiklas praplėsti šiomis sekcijomis:</w:t>
            </w:r>
          </w:p>
          <w:p w14:paraId="6978775B" w14:textId="799D99B9" w:rsidR="00EE3ADF" w:rsidRPr="00256152" w:rsidRDefault="00EE3ADF" w:rsidP="009231F3">
            <w:pPr>
              <w:jc w:val="both"/>
            </w:pPr>
            <w:r w:rsidRPr="00256152">
              <w:t>Finansinė ir draudimo veikla – šios kategorijos įmonės ypač daug (gerokai daugiau nei apdirbamosios gamybos srities įmonės) investuoja į DI sprendimus, juos kuria ir pardavinėja kitiems. Šių įmonių veikla yra paremta domenų analize, prognozavimu, automatizavimu, todėl neatskiriama nuo IT ir DI.</w:t>
            </w:r>
          </w:p>
          <w:p w14:paraId="4D87D678" w14:textId="7BEC659F" w:rsidR="00EE3ADF" w:rsidRPr="00256152" w:rsidRDefault="00EE3ADF" w:rsidP="009231F3">
            <w:pPr>
              <w:pStyle w:val="gmail-msolistparagraph"/>
              <w:spacing w:before="0" w:beforeAutospacing="0" w:after="0" w:afterAutospacing="0"/>
              <w:jc w:val="both"/>
              <w:rPr>
                <w:rFonts w:ascii="Times New Roman" w:eastAsia="Times New Roman" w:hAnsi="Times New Roman" w:cs="Times New Roman"/>
                <w:szCs w:val="20"/>
              </w:rPr>
            </w:pPr>
            <w:r w:rsidRPr="00256152">
              <w:rPr>
                <w:rFonts w:ascii="Times New Roman" w:eastAsia="Times New Roman" w:hAnsi="Times New Roman" w:cs="Times New Roman"/>
                <w:szCs w:val="20"/>
              </w:rPr>
              <w:t xml:space="preserve">Didmeninė ir mažmeninė prekyba; variklinių transporto priemonių ir motociklų remontas  </w:t>
            </w:r>
            <w:r w:rsidRPr="000D6EBE">
              <w:rPr>
                <w:rFonts w:ascii="Times New Roman" w:hAnsi="Times New Roman" w:cs="Times New Roman"/>
              </w:rPr>
              <w:t>–</w:t>
            </w:r>
            <w:r w:rsidRPr="00256152">
              <w:rPr>
                <w:rFonts w:ascii="Times New Roman" w:eastAsia="Times New Roman" w:hAnsi="Times New Roman" w:cs="Times New Roman"/>
                <w:szCs w:val="20"/>
              </w:rPr>
              <w:t xml:space="preserve"> internetinę prekybą vykdančios įmonės ypač daug investuoja į AI sprendimus, juos kuria ir pardavinėja kitiems. </w:t>
            </w:r>
          </w:p>
          <w:p w14:paraId="6F3B8F76" w14:textId="5726012A" w:rsidR="00EE3ADF" w:rsidRPr="00256152" w:rsidRDefault="00EE3ADF" w:rsidP="009231F3">
            <w:pPr>
              <w:pStyle w:val="gmail-msolistparagraph"/>
              <w:spacing w:before="0" w:beforeAutospacing="0" w:after="0" w:afterAutospacing="0"/>
              <w:jc w:val="both"/>
              <w:rPr>
                <w:rFonts w:ascii="Times New Roman" w:eastAsia="Times New Roman" w:hAnsi="Times New Roman" w:cs="Times New Roman"/>
                <w:szCs w:val="20"/>
              </w:rPr>
            </w:pPr>
            <w:r w:rsidRPr="00256152">
              <w:rPr>
                <w:rFonts w:ascii="Times New Roman" w:eastAsia="Times New Roman" w:hAnsi="Times New Roman" w:cs="Times New Roman"/>
                <w:szCs w:val="20"/>
              </w:rPr>
              <w:t>Kita transportui būdingų paslaugų veikla – logistikos bei ekspedijavimo įmonės ypač daug investuoja į DI sprendimus, juos kuria ir pardavinėja kitiems</w:t>
            </w:r>
          </w:p>
          <w:p w14:paraId="70ED5D06" w14:textId="1E38219F" w:rsidR="00EE3ADF" w:rsidRPr="009231F3" w:rsidRDefault="00EE3ADF" w:rsidP="009231F3">
            <w:pPr>
              <w:pStyle w:val="gmail-msolistparagraph"/>
              <w:spacing w:before="0" w:beforeAutospacing="0" w:after="0" w:afterAutospacing="0"/>
              <w:jc w:val="both"/>
              <w:rPr>
                <w:rFonts w:ascii="Times New Roman" w:eastAsia="Times New Roman" w:hAnsi="Times New Roman" w:cs="Times New Roman"/>
                <w:szCs w:val="20"/>
              </w:rPr>
            </w:pPr>
            <w:r w:rsidRPr="00256152">
              <w:rPr>
                <w:rFonts w:ascii="Times New Roman" w:eastAsia="Times New Roman" w:hAnsi="Times New Roman" w:cs="Times New Roman"/>
                <w:szCs w:val="20"/>
              </w:rPr>
              <w:t xml:space="preserve">Profesinė, mokslinė ir techninė veikla – teisinių paslaugų, buhalterinės apskaitos, konsultacinių paslaugų įmonės ypač daug investuoja į AI sprendimus, juos kuria ir pardavinėja kitiems. Pavyzdžiui buhalterinė apskaita yra neatskiriama nuo IT sprendimų, todėl reikšminga apskaitos įmonių dalis turi sukūrusios savo sistemas. </w:t>
            </w:r>
          </w:p>
        </w:tc>
        <w:tc>
          <w:tcPr>
            <w:tcW w:w="6946" w:type="dxa"/>
          </w:tcPr>
          <w:p w14:paraId="06945032" w14:textId="77777777" w:rsidR="00EE3ADF" w:rsidRDefault="00EE3ADF" w:rsidP="004619C0">
            <w:pPr>
              <w:jc w:val="both"/>
            </w:pPr>
            <w:r>
              <w:lastRenderedPageBreak/>
              <w:t>Neatsižvelgta.</w:t>
            </w:r>
          </w:p>
          <w:p w14:paraId="2195797B" w14:textId="364CD1C6" w:rsidR="00EE3ADF" w:rsidRDefault="00EE3ADF" w:rsidP="004619C0">
            <w:pPr>
              <w:jc w:val="both"/>
            </w:pPr>
            <w:r>
              <w:lastRenderedPageBreak/>
              <w:t>Ši veikla yra skirta ne einamųjų įmonės veiklų finansavimui, Europos Sąjungos investicijų fondų lėšos turi būti skiriamos tokiems veiksmams, kuriais bus užtikrinamas spartesnis ekonomikos augimas. Atsižvelgiant, kad tiek pramonės, tiek informacinių technologijų sektorius turi didžiausią potencialą kurti ir vystyti DI produktus ir (arba) sprendimus, pasirinkti būtent šie du sektoriai.</w:t>
            </w:r>
            <w:r w:rsidRPr="00932BA8">
              <w:t> </w:t>
            </w:r>
            <w:r>
              <w:t xml:space="preserve"> Taip pat atkreiptinas dėmesys, kad pasiūlyme minimi sektoriai nėra priskiriami prioritetinėms remtinoms sritims ir tam tikrais atvejais yra apibrėžiami kaip neremtinos veiklos sritys, pavyzdžiui Bendrajame bendrosios išimties reglamente </w:t>
            </w:r>
            <w:r w:rsidRPr="00932BA8">
              <w:t>1</w:t>
            </w:r>
            <w:r>
              <w:t xml:space="preserve">3 straipsnyje (2014 m. birželio </w:t>
            </w:r>
            <w:r w:rsidRPr="00932BA8">
              <w:t>1</w:t>
            </w:r>
            <w:r>
              <w:t xml:space="preserve">7 d. Europos Komisijos reglamentas (ES) Nr. </w:t>
            </w:r>
            <w:r w:rsidRPr="00932BA8">
              <w:t>6</w:t>
            </w:r>
            <w:r>
              <w:t xml:space="preserve">51/2014, </w:t>
            </w:r>
            <w:r w:rsidRPr="00932BA8">
              <w:t>kuriuo tam tikrų kategorijų pagalba skelbiama suderinama su vidaus rinka taikant Sutarties 107 ir 108 straipsnius</w:t>
            </w:r>
            <w:r>
              <w:t xml:space="preserve">. </w:t>
            </w:r>
          </w:p>
          <w:p w14:paraId="5D16AF4E" w14:textId="7D46E2FA" w:rsidR="00EE3ADF" w:rsidRPr="00E9224C" w:rsidRDefault="00EE3ADF" w:rsidP="004619C0">
            <w:pPr>
              <w:jc w:val="both"/>
            </w:pPr>
          </w:p>
        </w:tc>
      </w:tr>
      <w:tr w:rsidR="00EE3ADF" w:rsidRPr="00C85D29" w14:paraId="43307685" w14:textId="77777777" w:rsidTr="00F218A9">
        <w:tc>
          <w:tcPr>
            <w:tcW w:w="567" w:type="dxa"/>
          </w:tcPr>
          <w:p w14:paraId="15A1C9B4" w14:textId="77777777" w:rsidR="00EE3ADF" w:rsidRDefault="00EE3ADF" w:rsidP="00335D39">
            <w:pPr>
              <w:jc w:val="center"/>
              <w:rPr>
                <w:bCs/>
                <w:szCs w:val="24"/>
              </w:rPr>
            </w:pPr>
          </w:p>
        </w:tc>
        <w:tc>
          <w:tcPr>
            <w:tcW w:w="1560" w:type="dxa"/>
            <w:vMerge/>
          </w:tcPr>
          <w:p w14:paraId="7AC3B875" w14:textId="77777777" w:rsidR="00EE3ADF" w:rsidRPr="00191A6E" w:rsidRDefault="00EE3ADF" w:rsidP="00CA3ADD">
            <w:pPr>
              <w:rPr>
                <w:b/>
                <w:bCs/>
                <w:szCs w:val="24"/>
              </w:rPr>
            </w:pPr>
          </w:p>
        </w:tc>
        <w:tc>
          <w:tcPr>
            <w:tcW w:w="5698" w:type="dxa"/>
          </w:tcPr>
          <w:p w14:paraId="415B25EC" w14:textId="77777777" w:rsidR="00EE3ADF" w:rsidRDefault="00EE3ADF" w:rsidP="00E1371C">
            <w:pPr>
              <w:jc w:val="both"/>
            </w:pPr>
            <w:r w:rsidRPr="00256152">
              <w:t xml:space="preserve">Prioritetinis projektų atrankos kriterijus: Numatomo (-ų) kurti DI produkto (-ų) ir (ar) sprendimo (-ų) išvystymo lygis pagal pasiektą stadiją. </w:t>
            </w:r>
          </w:p>
          <w:p w14:paraId="418857F1" w14:textId="1F69A8DB" w:rsidR="00EE3ADF" w:rsidRPr="00256152" w:rsidRDefault="00EE3ADF" w:rsidP="00E1371C">
            <w:pPr>
              <w:jc w:val="both"/>
            </w:pPr>
            <w:r w:rsidRPr="00256152">
              <w:t>Dabartinė formuluotė sumažina šansus gauti paramą naujai kuriamiems sprendimams, teikdama prioritetą jau esamų produktų plėtrai. Tai gali stabdyti inovacijų plėtrą. Todėl siūlome įvesti lubas, kad maksimalus balas duodamas už minimalų gyvybingą (</w:t>
            </w:r>
            <w:proofErr w:type="spellStart"/>
            <w:r w:rsidRPr="00256152">
              <w:t>minimum</w:t>
            </w:r>
            <w:proofErr w:type="spellEnd"/>
            <w:r w:rsidRPr="00256152">
              <w:t xml:space="preserve"> </w:t>
            </w:r>
            <w:proofErr w:type="spellStart"/>
            <w:r w:rsidRPr="00256152">
              <w:t>viable</w:t>
            </w:r>
            <w:proofErr w:type="spellEnd"/>
            <w:r w:rsidRPr="00256152">
              <w:t>) produkto lygį. Arba 5 TPL išvystymo lygį.  T.</w:t>
            </w:r>
            <w:r>
              <w:t xml:space="preserve"> </w:t>
            </w:r>
            <w:r w:rsidRPr="00256152">
              <w:t>y. aukštesnio lygio išvystymas neduotų papildomų balų.</w:t>
            </w:r>
          </w:p>
        </w:tc>
        <w:tc>
          <w:tcPr>
            <w:tcW w:w="6946" w:type="dxa"/>
          </w:tcPr>
          <w:p w14:paraId="26A280B5" w14:textId="1630C0FD" w:rsidR="00EE3ADF" w:rsidRPr="00E9224C" w:rsidRDefault="00EE3ADF" w:rsidP="004619C0">
            <w:pPr>
              <w:jc w:val="both"/>
            </w:pPr>
            <w:r>
              <w:t>Šiuo kriterijumi yra vertinama NAUJAI KURIAMO produkto ir (ar) sprendimo išsivystymo lygis pagal pasiektą stadiją, t. y. skatinama ne esamų produktų plėtra, bet naujų kūrimas. Ir jei naujai kuriamas produktas ir (ar) sprendimas bus pasiekęs ne tik minimaliai gyvybingo produkto stadiją, bet ir produkto pateikimo į rinką stadiją, tuomet tam naujam produktui bus suteikiamas aukštesnis įvertinimas. Atkreiptinas dėmesys, kad šioje veikloje nebus reikalavimo vykdyti mokslinių tyrimų ir eksperimentinės plėtros veiklas, tad nereiktų painioti sąvokų su technologinės plėtros lygiais, kurie naudojami būtent mokslinių tyrimų ir eksperimentinės plėtros veiklose.</w:t>
            </w:r>
          </w:p>
        </w:tc>
      </w:tr>
      <w:tr w:rsidR="00EE3ADF" w:rsidRPr="00C85D29" w14:paraId="7951545C" w14:textId="77777777" w:rsidTr="00F218A9">
        <w:tc>
          <w:tcPr>
            <w:tcW w:w="567" w:type="dxa"/>
          </w:tcPr>
          <w:p w14:paraId="3DCEAD7E" w14:textId="1C1FB7F8" w:rsidR="00EE3ADF" w:rsidRDefault="00EE3ADF" w:rsidP="00335D39">
            <w:pPr>
              <w:jc w:val="center"/>
              <w:rPr>
                <w:bCs/>
                <w:szCs w:val="24"/>
              </w:rPr>
            </w:pPr>
            <w:r>
              <w:rPr>
                <w:bCs/>
                <w:szCs w:val="24"/>
              </w:rPr>
              <w:t>7.</w:t>
            </w:r>
          </w:p>
        </w:tc>
        <w:tc>
          <w:tcPr>
            <w:tcW w:w="1560" w:type="dxa"/>
          </w:tcPr>
          <w:p w14:paraId="3CE28C5F" w14:textId="2A599597" w:rsidR="00EE3ADF" w:rsidRPr="001E7146" w:rsidRDefault="00EE3ADF" w:rsidP="00CA3ADD">
            <w:pPr>
              <w:rPr>
                <w:szCs w:val="24"/>
              </w:rPr>
            </w:pPr>
            <w:r w:rsidRPr="001E7146">
              <w:t xml:space="preserve">Lietuvos inžinerijos ir </w:t>
            </w:r>
            <w:r w:rsidRPr="001E7146">
              <w:lastRenderedPageBreak/>
              <w:t>technologijų pramonės asociacija LINPRA</w:t>
            </w:r>
          </w:p>
        </w:tc>
        <w:tc>
          <w:tcPr>
            <w:tcW w:w="5698" w:type="dxa"/>
          </w:tcPr>
          <w:p w14:paraId="244BC2EC" w14:textId="30B69C22" w:rsidR="00EE3ADF" w:rsidRDefault="00EE3ADF" w:rsidP="001E7146">
            <w:pPr>
              <w:jc w:val="both"/>
            </w:pPr>
            <w:r>
              <w:lastRenderedPageBreak/>
              <w:t>Siūloma praplėsti mašininio mokymosi sąvoką:</w:t>
            </w:r>
          </w:p>
          <w:p w14:paraId="7A5C6BB6" w14:textId="77777777" w:rsidR="00EE3ADF" w:rsidRDefault="00EE3ADF" w:rsidP="001E7146">
            <w:pPr>
              <w:jc w:val="both"/>
            </w:pPr>
          </w:p>
          <w:p w14:paraId="5A2FEAEE" w14:textId="5E8D98AB" w:rsidR="00EE3ADF" w:rsidRPr="00256152" w:rsidRDefault="00EE3ADF" w:rsidP="00EE3ADF">
            <w:pPr>
              <w:jc w:val="both"/>
            </w:pPr>
            <w:r w:rsidRPr="001E7146">
              <w:lastRenderedPageBreak/>
              <w:t xml:space="preserve">Mašininis mokymasis (ML): ML algoritmai analizuoja duomenų modelius iš jutiklių ir įrangos, </w:t>
            </w:r>
            <w:r w:rsidRPr="001E7146">
              <w:rPr>
                <w:b/>
                <w:bCs/>
              </w:rPr>
              <w:t>analizuoja duomenis iš kitų prieinamų šaltinių tiek įmonės viduje, tiek interneto, debesų kompiuterijos</w:t>
            </w:r>
            <w:r w:rsidRPr="001E7146">
              <w:t xml:space="preserve">, optimizuodami operacijas, </w:t>
            </w:r>
            <w:r w:rsidRPr="001E7146">
              <w:rPr>
                <w:b/>
                <w:bCs/>
              </w:rPr>
              <w:t>verslo procesus</w:t>
            </w:r>
            <w:r w:rsidRPr="001E7146">
              <w:t>, prognozuodami priežiūros poreikius ir gerindami bendrą efektyvumą bei našumą.</w:t>
            </w:r>
          </w:p>
        </w:tc>
        <w:tc>
          <w:tcPr>
            <w:tcW w:w="6946" w:type="dxa"/>
          </w:tcPr>
          <w:p w14:paraId="7B54A52B" w14:textId="39183E48" w:rsidR="00EE3ADF" w:rsidRDefault="00EE3ADF" w:rsidP="004619C0">
            <w:pPr>
              <w:jc w:val="both"/>
            </w:pPr>
            <w:r>
              <w:lastRenderedPageBreak/>
              <w:t>Atsižvelgta.</w:t>
            </w:r>
          </w:p>
        </w:tc>
      </w:tr>
    </w:tbl>
    <w:p w14:paraId="00AABEA2" w14:textId="77777777" w:rsidR="005C5ECB" w:rsidRPr="007F3956" w:rsidRDefault="005C5ECB">
      <w:pPr>
        <w:rPr>
          <w:rFonts w:eastAsia="Calibri"/>
          <w:szCs w:val="24"/>
          <w:lang w:eastAsia="en-US"/>
        </w:rPr>
      </w:pPr>
    </w:p>
    <w:p w14:paraId="255DC35E" w14:textId="77777777" w:rsidR="009C5818" w:rsidRPr="007F3956" w:rsidRDefault="009C5818">
      <w:pPr>
        <w:rPr>
          <w:rFonts w:eastAsia="Calibri"/>
          <w:szCs w:val="24"/>
          <w:lang w:eastAsia="en-US"/>
        </w:rPr>
      </w:pPr>
    </w:p>
    <w:p w14:paraId="5A6E1EF1" w14:textId="77777777" w:rsidR="00786584" w:rsidRPr="00BD0CD7" w:rsidRDefault="00786584">
      <w:pPr>
        <w:rPr>
          <w:rFonts w:eastAsia="Calibri"/>
          <w:szCs w:val="24"/>
          <w:lang w:eastAsia="en-US"/>
        </w:rPr>
      </w:pPr>
    </w:p>
    <w:sectPr w:rsidR="00786584" w:rsidRPr="00BD0CD7" w:rsidSect="003940F3">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73EB" w14:textId="77777777" w:rsidR="00555EAA" w:rsidRDefault="00555EAA" w:rsidP="003940F3">
      <w:r>
        <w:separator/>
      </w:r>
    </w:p>
  </w:endnote>
  <w:endnote w:type="continuationSeparator" w:id="0">
    <w:p w14:paraId="6A31A6E8" w14:textId="77777777" w:rsidR="00555EAA" w:rsidRDefault="00555EAA"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228" w14:textId="77777777" w:rsidR="003940F3" w:rsidRDefault="0039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DD6" w14:textId="77777777" w:rsidR="003940F3" w:rsidRDefault="00394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377" w14:textId="77777777" w:rsidR="003940F3" w:rsidRDefault="0039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783B" w14:textId="77777777" w:rsidR="00555EAA" w:rsidRDefault="00555EAA" w:rsidP="003940F3">
      <w:r>
        <w:separator/>
      </w:r>
    </w:p>
  </w:footnote>
  <w:footnote w:type="continuationSeparator" w:id="0">
    <w:p w14:paraId="56F4C38C" w14:textId="77777777" w:rsidR="00555EAA" w:rsidRDefault="00555EAA" w:rsidP="0039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5EB" w14:textId="77777777" w:rsidR="003940F3" w:rsidRDefault="00394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FAD"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0085E"/>
    <w:multiLevelType w:val="multilevel"/>
    <w:tmpl w:val="6FEC4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6467D"/>
    <w:multiLevelType w:val="hybridMultilevel"/>
    <w:tmpl w:val="B85C573C"/>
    <w:lvl w:ilvl="0" w:tplc="BDCA7BD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66634"/>
    <w:multiLevelType w:val="multilevel"/>
    <w:tmpl w:val="68365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73B3FD7"/>
    <w:multiLevelType w:val="hybridMultilevel"/>
    <w:tmpl w:val="4FCCD32E"/>
    <w:lvl w:ilvl="0" w:tplc="EB2690E4">
      <w:start w:val="1"/>
      <w:numFmt w:val="decimal"/>
      <w:lvlText w:val="%1."/>
      <w:lvlJc w:val="left"/>
      <w:pPr>
        <w:ind w:left="720" w:hanging="360"/>
      </w:pPr>
      <w:rPr>
        <w:rFonts w:ascii="Times New Roman" w:eastAsia="Calibri"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712344893">
    <w:abstractNumId w:val="13"/>
  </w:num>
  <w:num w:numId="2" w16cid:durableId="932131581">
    <w:abstractNumId w:val="12"/>
  </w:num>
  <w:num w:numId="3" w16cid:durableId="1619332786">
    <w:abstractNumId w:val="14"/>
  </w:num>
  <w:num w:numId="4" w16cid:durableId="1502549054">
    <w:abstractNumId w:val="1"/>
  </w:num>
  <w:num w:numId="5" w16cid:durableId="1052147479">
    <w:abstractNumId w:val="3"/>
  </w:num>
  <w:num w:numId="6" w16cid:durableId="309411299">
    <w:abstractNumId w:val="0"/>
  </w:num>
  <w:num w:numId="7" w16cid:durableId="648948794">
    <w:abstractNumId w:val="5"/>
  </w:num>
  <w:num w:numId="8" w16cid:durableId="790318270">
    <w:abstractNumId w:val="7"/>
  </w:num>
  <w:num w:numId="9" w16cid:durableId="351537401">
    <w:abstractNumId w:val="15"/>
  </w:num>
  <w:num w:numId="10" w16cid:durableId="392699821">
    <w:abstractNumId w:val="6"/>
  </w:num>
  <w:num w:numId="11" w16cid:durableId="1000083785">
    <w:abstractNumId w:val="16"/>
  </w:num>
  <w:num w:numId="12" w16cid:durableId="1321344017">
    <w:abstractNumId w:val="10"/>
  </w:num>
  <w:num w:numId="13" w16cid:durableId="49620565">
    <w:abstractNumId w:val="9"/>
  </w:num>
  <w:num w:numId="14" w16cid:durableId="406348896">
    <w:abstractNumId w:val="11"/>
  </w:num>
  <w:num w:numId="15" w16cid:durableId="2057510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1664432">
    <w:abstractNumId w:val="8"/>
  </w:num>
  <w:num w:numId="17" w16cid:durableId="624778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5942"/>
    <w:rsid w:val="00016435"/>
    <w:rsid w:val="00017566"/>
    <w:rsid w:val="000202E8"/>
    <w:rsid w:val="00023010"/>
    <w:rsid w:val="00023D8B"/>
    <w:rsid w:val="000240C4"/>
    <w:rsid w:val="00030D25"/>
    <w:rsid w:val="00030DBB"/>
    <w:rsid w:val="0003188A"/>
    <w:rsid w:val="00032985"/>
    <w:rsid w:val="00033CEB"/>
    <w:rsid w:val="00044CAB"/>
    <w:rsid w:val="00046DFE"/>
    <w:rsid w:val="00050427"/>
    <w:rsid w:val="00053271"/>
    <w:rsid w:val="00053D41"/>
    <w:rsid w:val="00055508"/>
    <w:rsid w:val="00060B0B"/>
    <w:rsid w:val="00062518"/>
    <w:rsid w:val="00063152"/>
    <w:rsid w:val="000640C7"/>
    <w:rsid w:val="00066215"/>
    <w:rsid w:val="000671F1"/>
    <w:rsid w:val="00070B21"/>
    <w:rsid w:val="00070ED6"/>
    <w:rsid w:val="00070EF3"/>
    <w:rsid w:val="00073EAB"/>
    <w:rsid w:val="00077247"/>
    <w:rsid w:val="00081BC9"/>
    <w:rsid w:val="000844E7"/>
    <w:rsid w:val="000909EB"/>
    <w:rsid w:val="00095A64"/>
    <w:rsid w:val="00095B14"/>
    <w:rsid w:val="00096A65"/>
    <w:rsid w:val="000A0E20"/>
    <w:rsid w:val="000A3FD2"/>
    <w:rsid w:val="000B19E9"/>
    <w:rsid w:val="000B1AF5"/>
    <w:rsid w:val="000B2D7C"/>
    <w:rsid w:val="000B389E"/>
    <w:rsid w:val="000B7125"/>
    <w:rsid w:val="000C3443"/>
    <w:rsid w:val="000C6DCD"/>
    <w:rsid w:val="000D22BB"/>
    <w:rsid w:val="000D2E71"/>
    <w:rsid w:val="000D3EFE"/>
    <w:rsid w:val="000D748B"/>
    <w:rsid w:val="000E057B"/>
    <w:rsid w:val="000E128C"/>
    <w:rsid w:val="000E1F0C"/>
    <w:rsid w:val="000E275C"/>
    <w:rsid w:val="000E5A48"/>
    <w:rsid w:val="000E7A99"/>
    <w:rsid w:val="000F1049"/>
    <w:rsid w:val="000F5CE6"/>
    <w:rsid w:val="001011F0"/>
    <w:rsid w:val="00105F91"/>
    <w:rsid w:val="001132AD"/>
    <w:rsid w:val="00115372"/>
    <w:rsid w:val="0011647B"/>
    <w:rsid w:val="00124A1B"/>
    <w:rsid w:val="00143277"/>
    <w:rsid w:val="001445E4"/>
    <w:rsid w:val="00150823"/>
    <w:rsid w:val="00150B26"/>
    <w:rsid w:val="00156FCF"/>
    <w:rsid w:val="00157004"/>
    <w:rsid w:val="001577E4"/>
    <w:rsid w:val="00162289"/>
    <w:rsid w:val="001661A8"/>
    <w:rsid w:val="001705CF"/>
    <w:rsid w:val="001706A0"/>
    <w:rsid w:val="00175B04"/>
    <w:rsid w:val="0018373E"/>
    <w:rsid w:val="0018469B"/>
    <w:rsid w:val="00184FC3"/>
    <w:rsid w:val="00186511"/>
    <w:rsid w:val="0019085C"/>
    <w:rsid w:val="00191782"/>
    <w:rsid w:val="00191A6E"/>
    <w:rsid w:val="001923DD"/>
    <w:rsid w:val="00194702"/>
    <w:rsid w:val="001A0E47"/>
    <w:rsid w:val="001A5935"/>
    <w:rsid w:val="001B2453"/>
    <w:rsid w:val="001C14FD"/>
    <w:rsid w:val="001C2F60"/>
    <w:rsid w:val="001C65B5"/>
    <w:rsid w:val="001D0FA0"/>
    <w:rsid w:val="001D3C04"/>
    <w:rsid w:val="001D6507"/>
    <w:rsid w:val="001D6F4A"/>
    <w:rsid w:val="001E4CE7"/>
    <w:rsid w:val="001E6433"/>
    <w:rsid w:val="001E6748"/>
    <w:rsid w:val="001E67A5"/>
    <w:rsid w:val="001E7146"/>
    <w:rsid w:val="001E754D"/>
    <w:rsid w:val="001F4D9A"/>
    <w:rsid w:val="001F68A7"/>
    <w:rsid w:val="001F7C29"/>
    <w:rsid w:val="0020434A"/>
    <w:rsid w:val="00207E63"/>
    <w:rsid w:val="00211B2A"/>
    <w:rsid w:val="00212ADD"/>
    <w:rsid w:val="00224286"/>
    <w:rsid w:val="0022435B"/>
    <w:rsid w:val="0023024D"/>
    <w:rsid w:val="00233335"/>
    <w:rsid w:val="00234AE2"/>
    <w:rsid w:val="00241069"/>
    <w:rsid w:val="00241C69"/>
    <w:rsid w:val="0024541C"/>
    <w:rsid w:val="00247BB5"/>
    <w:rsid w:val="00256152"/>
    <w:rsid w:val="00256BE3"/>
    <w:rsid w:val="00266F48"/>
    <w:rsid w:val="00270AE5"/>
    <w:rsid w:val="00271242"/>
    <w:rsid w:val="0027186C"/>
    <w:rsid w:val="002730D8"/>
    <w:rsid w:val="00280FCB"/>
    <w:rsid w:val="00281473"/>
    <w:rsid w:val="00282D46"/>
    <w:rsid w:val="002923A6"/>
    <w:rsid w:val="002929F7"/>
    <w:rsid w:val="00294FB1"/>
    <w:rsid w:val="00297D19"/>
    <w:rsid w:val="002A27A2"/>
    <w:rsid w:val="002A2BDD"/>
    <w:rsid w:val="002B1648"/>
    <w:rsid w:val="002B31F3"/>
    <w:rsid w:val="002C1C03"/>
    <w:rsid w:val="002C57F4"/>
    <w:rsid w:val="002C7036"/>
    <w:rsid w:val="002C7407"/>
    <w:rsid w:val="002C79BA"/>
    <w:rsid w:val="002D0B08"/>
    <w:rsid w:val="002D1CED"/>
    <w:rsid w:val="002D4D56"/>
    <w:rsid w:val="002D6D79"/>
    <w:rsid w:val="002D7C38"/>
    <w:rsid w:val="002E1B28"/>
    <w:rsid w:val="002F3746"/>
    <w:rsid w:val="002F4AAE"/>
    <w:rsid w:val="00316D2C"/>
    <w:rsid w:val="003214A4"/>
    <w:rsid w:val="003245DF"/>
    <w:rsid w:val="00330974"/>
    <w:rsid w:val="00330EC9"/>
    <w:rsid w:val="00333A39"/>
    <w:rsid w:val="00344A49"/>
    <w:rsid w:val="0034540C"/>
    <w:rsid w:val="00347C65"/>
    <w:rsid w:val="003529B3"/>
    <w:rsid w:val="003652F0"/>
    <w:rsid w:val="00366151"/>
    <w:rsid w:val="0036662A"/>
    <w:rsid w:val="003865B8"/>
    <w:rsid w:val="00391584"/>
    <w:rsid w:val="0039259D"/>
    <w:rsid w:val="00393F28"/>
    <w:rsid w:val="003940F3"/>
    <w:rsid w:val="003943DC"/>
    <w:rsid w:val="00397AD7"/>
    <w:rsid w:val="003A1AD9"/>
    <w:rsid w:val="003A200A"/>
    <w:rsid w:val="003A332E"/>
    <w:rsid w:val="003B2FAE"/>
    <w:rsid w:val="003B6643"/>
    <w:rsid w:val="003B6A9B"/>
    <w:rsid w:val="003B726A"/>
    <w:rsid w:val="003C6054"/>
    <w:rsid w:val="003D4E0E"/>
    <w:rsid w:val="003D4EB4"/>
    <w:rsid w:val="003E09D5"/>
    <w:rsid w:val="003E77A4"/>
    <w:rsid w:val="003F50A1"/>
    <w:rsid w:val="003F5676"/>
    <w:rsid w:val="003F7DF8"/>
    <w:rsid w:val="0040628C"/>
    <w:rsid w:val="00411C08"/>
    <w:rsid w:val="004136A8"/>
    <w:rsid w:val="00414392"/>
    <w:rsid w:val="00417DC7"/>
    <w:rsid w:val="00421AD5"/>
    <w:rsid w:val="004322A4"/>
    <w:rsid w:val="004378EE"/>
    <w:rsid w:val="00447D74"/>
    <w:rsid w:val="00452AAF"/>
    <w:rsid w:val="00452FA3"/>
    <w:rsid w:val="00455305"/>
    <w:rsid w:val="004619C0"/>
    <w:rsid w:val="004631DA"/>
    <w:rsid w:val="004639C4"/>
    <w:rsid w:val="00475D1E"/>
    <w:rsid w:val="00475E13"/>
    <w:rsid w:val="00482B56"/>
    <w:rsid w:val="004853EA"/>
    <w:rsid w:val="00485479"/>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4F7609"/>
    <w:rsid w:val="005004F3"/>
    <w:rsid w:val="005054C5"/>
    <w:rsid w:val="00510A85"/>
    <w:rsid w:val="005206B0"/>
    <w:rsid w:val="00520904"/>
    <w:rsid w:val="0052522F"/>
    <w:rsid w:val="00527115"/>
    <w:rsid w:val="0053023F"/>
    <w:rsid w:val="005303DC"/>
    <w:rsid w:val="00530480"/>
    <w:rsid w:val="00530815"/>
    <w:rsid w:val="0053182B"/>
    <w:rsid w:val="005376D6"/>
    <w:rsid w:val="0054453C"/>
    <w:rsid w:val="00545CE9"/>
    <w:rsid w:val="00547C74"/>
    <w:rsid w:val="005516A5"/>
    <w:rsid w:val="005533C2"/>
    <w:rsid w:val="00555EAA"/>
    <w:rsid w:val="00563838"/>
    <w:rsid w:val="00563B3D"/>
    <w:rsid w:val="005671CE"/>
    <w:rsid w:val="00571253"/>
    <w:rsid w:val="0057371A"/>
    <w:rsid w:val="00581700"/>
    <w:rsid w:val="00581B51"/>
    <w:rsid w:val="005903F9"/>
    <w:rsid w:val="00593EE0"/>
    <w:rsid w:val="005953D7"/>
    <w:rsid w:val="00597AFF"/>
    <w:rsid w:val="005A0AC7"/>
    <w:rsid w:val="005A3FE6"/>
    <w:rsid w:val="005A4A5F"/>
    <w:rsid w:val="005A640D"/>
    <w:rsid w:val="005A771F"/>
    <w:rsid w:val="005B0565"/>
    <w:rsid w:val="005B09A6"/>
    <w:rsid w:val="005B1293"/>
    <w:rsid w:val="005B79FB"/>
    <w:rsid w:val="005B7C13"/>
    <w:rsid w:val="005C11A9"/>
    <w:rsid w:val="005C492A"/>
    <w:rsid w:val="005C4F5A"/>
    <w:rsid w:val="005C5B4A"/>
    <w:rsid w:val="005C5ECB"/>
    <w:rsid w:val="005D1053"/>
    <w:rsid w:val="005E0604"/>
    <w:rsid w:val="005E1221"/>
    <w:rsid w:val="005E5744"/>
    <w:rsid w:val="005E647A"/>
    <w:rsid w:val="005F038F"/>
    <w:rsid w:val="005F0F88"/>
    <w:rsid w:val="005F3877"/>
    <w:rsid w:val="006078D1"/>
    <w:rsid w:val="00607C88"/>
    <w:rsid w:val="006106A7"/>
    <w:rsid w:val="00611C52"/>
    <w:rsid w:val="00613BBB"/>
    <w:rsid w:val="00614F43"/>
    <w:rsid w:val="00615ACB"/>
    <w:rsid w:val="006179ED"/>
    <w:rsid w:val="00621182"/>
    <w:rsid w:val="006259D7"/>
    <w:rsid w:val="00626D21"/>
    <w:rsid w:val="006301B9"/>
    <w:rsid w:val="00631726"/>
    <w:rsid w:val="00633EC5"/>
    <w:rsid w:val="006351B9"/>
    <w:rsid w:val="00635B87"/>
    <w:rsid w:val="0064720A"/>
    <w:rsid w:val="00647DE4"/>
    <w:rsid w:val="006507EE"/>
    <w:rsid w:val="00661D02"/>
    <w:rsid w:val="00665BE2"/>
    <w:rsid w:val="0067708D"/>
    <w:rsid w:val="0067787C"/>
    <w:rsid w:val="00677B1E"/>
    <w:rsid w:val="00677C93"/>
    <w:rsid w:val="006824CC"/>
    <w:rsid w:val="00682547"/>
    <w:rsid w:val="006836FA"/>
    <w:rsid w:val="00686E67"/>
    <w:rsid w:val="00690AB6"/>
    <w:rsid w:val="00690B46"/>
    <w:rsid w:val="00696DBF"/>
    <w:rsid w:val="00696E7D"/>
    <w:rsid w:val="006A1E78"/>
    <w:rsid w:val="006A22E2"/>
    <w:rsid w:val="006A78E4"/>
    <w:rsid w:val="006B0D85"/>
    <w:rsid w:val="006B0DD6"/>
    <w:rsid w:val="006B526A"/>
    <w:rsid w:val="006B75D2"/>
    <w:rsid w:val="006B78B4"/>
    <w:rsid w:val="006C0163"/>
    <w:rsid w:val="006D1718"/>
    <w:rsid w:val="006D5739"/>
    <w:rsid w:val="006E05A9"/>
    <w:rsid w:val="006E0B8B"/>
    <w:rsid w:val="006E16C9"/>
    <w:rsid w:val="006E67AE"/>
    <w:rsid w:val="006E798D"/>
    <w:rsid w:val="006E7C89"/>
    <w:rsid w:val="006F23CE"/>
    <w:rsid w:val="0070221E"/>
    <w:rsid w:val="007050CA"/>
    <w:rsid w:val="007070F4"/>
    <w:rsid w:val="00707C95"/>
    <w:rsid w:val="00710DD2"/>
    <w:rsid w:val="0072623F"/>
    <w:rsid w:val="007263AF"/>
    <w:rsid w:val="00727011"/>
    <w:rsid w:val="007350FF"/>
    <w:rsid w:val="00737325"/>
    <w:rsid w:val="007410B0"/>
    <w:rsid w:val="00741C32"/>
    <w:rsid w:val="00742585"/>
    <w:rsid w:val="00747BC9"/>
    <w:rsid w:val="00751DDD"/>
    <w:rsid w:val="007537EC"/>
    <w:rsid w:val="00760318"/>
    <w:rsid w:val="00761496"/>
    <w:rsid w:val="00761F33"/>
    <w:rsid w:val="00772835"/>
    <w:rsid w:val="007769FC"/>
    <w:rsid w:val="00782D79"/>
    <w:rsid w:val="0078534B"/>
    <w:rsid w:val="00786584"/>
    <w:rsid w:val="00787C89"/>
    <w:rsid w:val="00791279"/>
    <w:rsid w:val="007972A2"/>
    <w:rsid w:val="007B3E81"/>
    <w:rsid w:val="007C1CA1"/>
    <w:rsid w:val="007D3038"/>
    <w:rsid w:val="007D42C6"/>
    <w:rsid w:val="007E1501"/>
    <w:rsid w:val="007E33DA"/>
    <w:rsid w:val="007E69B5"/>
    <w:rsid w:val="007F3956"/>
    <w:rsid w:val="007F5F38"/>
    <w:rsid w:val="0080172F"/>
    <w:rsid w:val="00811BF1"/>
    <w:rsid w:val="008127AF"/>
    <w:rsid w:val="00814122"/>
    <w:rsid w:val="00817EF3"/>
    <w:rsid w:val="00823D41"/>
    <w:rsid w:val="0082428A"/>
    <w:rsid w:val="008359DC"/>
    <w:rsid w:val="00851DCB"/>
    <w:rsid w:val="0085384B"/>
    <w:rsid w:val="0085430B"/>
    <w:rsid w:val="00856EDA"/>
    <w:rsid w:val="008576A6"/>
    <w:rsid w:val="00865C80"/>
    <w:rsid w:val="008663E3"/>
    <w:rsid w:val="00880909"/>
    <w:rsid w:val="008820BA"/>
    <w:rsid w:val="00885C3D"/>
    <w:rsid w:val="00887B84"/>
    <w:rsid w:val="00890A7C"/>
    <w:rsid w:val="008923B9"/>
    <w:rsid w:val="00894683"/>
    <w:rsid w:val="008A3E24"/>
    <w:rsid w:val="008A53CB"/>
    <w:rsid w:val="008A5A0D"/>
    <w:rsid w:val="008B3037"/>
    <w:rsid w:val="008C3DAE"/>
    <w:rsid w:val="008C4CE9"/>
    <w:rsid w:val="008C5A55"/>
    <w:rsid w:val="008D4415"/>
    <w:rsid w:val="008D444C"/>
    <w:rsid w:val="008D55D4"/>
    <w:rsid w:val="008D5F38"/>
    <w:rsid w:val="008D7278"/>
    <w:rsid w:val="008E2069"/>
    <w:rsid w:val="008E3A92"/>
    <w:rsid w:val="008E3C68"/>
    <w:rsid w:val="008E472A"/>
    <w:rsid w:val="008F38C3"/>
    <w:rsid w:val="008F52DA"/>
    <w:rsid w:val="009220EC"/>
    <w:rsid w:val="009231F3"/>
    <w:rsid w:val="00925C3E"/>
    <w:rsid w:val="00926630"/>
    <w:rsid w:val="00932BA8"/>
    <w:rsid w:val="00933886"/>
    <w:rsid w:val="00934F45"/>
    <w:rsid w:val="009422B0"/>
    <w:rsid w:val="00947C9D"/>
    <w:rsid w:val="00954EEB"/>
    <w:rsid w:val="00956C1E"/>
    <w:rsid w:val="0097341D"/>
    <w:rsid w:val="00987F43"/>
    <w:rsid w:val="00990EB8"/>
    <w:rsid w:val="009913E3"/>
    <w:rsid w:val="009924A0"/>
    <w:rsid w:val="0099342A"/>
    <w:rsid w:val="009961A8"/>
    <w:rsid w:val="00997F04"/>
    <w:rsid w:val="009A1219"/>
    <w:rsid w:val="009A3E23"/>
    <w:rsid w:val="009A662F"/>
    <w:rsid w:val="009B2BC0"/>
    <w:rsid w:val="009B3957"/>
    <w:rsid w:val="009B4714"/>
    <w:rsid w:val="009B7A40"/>
    <w:rsid w:val="009C1904"/>
    <w:rsid w:val="009C336C"/>
    <w:rsid w:val="009C5818"/>
    <w:rsid w:val="009C687C"/>
    <w:rsid w:val="009D3B8E"/>
    <w:rsid w:val="009D3BAD"/>
    <w:rsid w:val="009E15CC"/>
    <w:rsid w:val="009E1857"/>
    <w:rsid w:val="009E69E2"/>
    <w:rsid w:val="009E7F18"/>
    <w:rsid w:val="009F0535"/>
    <w:rsid w:val="00A00DB1"/>
    <w:rsid w:val="00A05F9C"/>
    <w:rsid w:val="00A076DC"/>
    <w:rsid w:val="00A127C6"/>
    <w:rsid w:val="00A24DB0"/>
    <w:rsid w:val="00A26CB7"/>
    <w:rsid w:val="00A2721F"/>
    <w:rsid w:val="00A27DBB"/>
    <w:rsid w:val="00A31C11"/>
    <w:rsid w:val="00A323E0"/>
    <w:rsid w:val="00A34406"/>
    <w:rsid w:val="00A34915"/>
    <w:rsid w:val="00A3535C"/>
    <w:rsid w:val="00A35603"/>
    <w:rsid w:val="00A37D8F"/>
    <w:rsid w:val="00A4128B"/>
    <w:rsid w:val="00A442E9"/>
    <w:rsid w:val="00A47552"/>
    <w:rsid w:val="00A47E71"/>
    <w:rsid w:val="00A47F32"/>
    <w:rsid w:val="00A51B2D"/>
    <w:rsid w:val="00A52C00"/>
    <w:rsid w:val="00A533D4"/>
    <w:rsid w:val="00A54BBD"/>
    <w:rsid w:val="00A560E8"/>
    <w:rsid w:val="00A65189"/>
    <w:rsid w:val="00A6632E"/>
    <w:rsid w:val="00A7066D"/>
    <w:rsid w:val="00A709C3"/>
    <w:rsid w:val="00A72061"/>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D6D50"/>
    <w:rsid w:val="00AE3CE8"/>
    <w:rsid w:val="00AE4ABF"/>
    <w:rsid w:val="00AE6787"/>
    <w:rsid w:val="00AF029B"/>
    <w:rsid w:val="00AF0898"/>
    <w:rsid w:val="00AF0A0D"/>
    <w:rsid w:val="00AF1F99"/>
    <w:rsid w:val="00AF25D0"/>
    <w:rsid w:val="00AF2A89"/>
    <w:rsid w:val="00AF7AB5"/>
    <w:rsid w:val="00B00E19"/>
    <w:rsid w:val="00B058B6"/>
    <w:rsid w:val="00B0591B"/>
    <w:rsid w:val="00B06DF8"/>
    <w:rsid w:val="00B1094E"/>
    <w:rsid w:val="00B14AA0"/>
    <w:rsid w:val="00B259E5"/>
    <w:rsid w:val="00B26628"/>
    <w:rsid w:val="00B3130A"/>
    <w:rsid w:val="00B33BD8"/>
    <w:rsid w:val="00B42F3A"/>
    <w:rsid w:val="00B4351C"/>
    <w:rsid w:val="00B44CD9"/>
    <w:rsid w:val="00B46548"/>
    <w:rsid w:val="00B47BB9"/>
    <w:rsid w:val="00B51113"/>
    <w:rsid w:val="00B53DCE"/>
    <w:rsid w:val="00B66D73"/>
    <w:rsid w:val="00B67720"/>
    <w:rsid w:val="00B70A77"/>
    <w:rsid w:val="00B7378D"/>
    <w:rsid w:val="00B748DF"/>
    <w:rsid w:val="00B75709"/>
    <w:rsid w:val="00B80C29"/>
    <w:rsid w:val="00B87121"/>
    <w:rsid w:val="00B905D0"/>
    <w:rsid w:val="00B92508"/>
    <w:rsid w:val="00B92EC5"/>
    <w:rsid w:val="00B95015"/>
    <w:rsid w:val="00B9676C"/>
    <w:rsid w:val="00BA08B7"/>
    <w:rsid w:val="00BA3F54"/>
    <w:rsid w:val="00BA57E5"/>
    <w:rsid w:val="00BA694E"/>
    <w:rsid w:val="00BB138B"/>
    <w:rsid w:val="00BC5BDA"/>
    <w:rsid w:val="00BD0780"/>
    <w:rsid w:val="00BD0CD7"/>
    <w:rsid w:val="00BD17AE"/>
    <w:rsid w:val="00BE1E8F"/>
    <w:rsid w:val="00BE6468"/>
    <w:rsid w:val="00BE6CC1"/>
    <w:rsid w:val="00BF587A"/>
    <w:rsid w:val="00BF7592"/>
    <w:rsid w:val="00C02E76"/>
    <w:rsid w:val="00C127CA"/>
    <w:rsid w:val="00C13806"/>
    <w:rsid w:val="00C1798F"/>
    <w:rsid w:val="00C2262B"/>
    <w:rsid w:val="00C23560"/>
    <w:rsid w:val="00C25577"/>
    <w:rsid w:val="00C25B44"/>
    <w:rsid w:val="00C27ED7"/>
    <w:rsid w:val="00C3317D"/>
    <w:rsid w:val="00C33E49"/>
    <w:rsid w:val="00C35591"/>
    <w:rsid w:val="00C35A56"/>
    <w:rsid w:val="00C40546"/>
    <w:rsid w:val="00C41BD5"/>
    <w:rsid w:val="00C41EDB"/>
    <w:rsid w:val="00C42FA7"/>
    <w:rsid w:val="00C469DB"/>
    <w:rsid w:val="00C52B5C"/>
    <w:rsid w:val="00C535B1"/>
    <w:rsid w:val="00C5774B"/>
    <w:rsid w:val="00C6260A"/>
    <w:rsid w:val="00C660AF"/>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56B8"/>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17EF7"/>
    <w:rsid w:val="00D22BEC"/>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ACE"/>
    <w:rsid w:val="00DA291B"/>
    <w:rsid w:val="00DB3586"/>
    <w:rsid w:val="00DB5C6B"/>
    <w:rsid w:val="00DC11E3"/>
    <w:rsid w:val="00DC5385"/>
    <w:rsid w:val="00DC769B"/>
    <w:rsid w:val="00DC7728"/>
    <w:rsid w:val="00DC7AB7"/>
    <w:rsid w:val="00DD16A8"/>
    <w:rsid w:val="00DD3616"/>
    <w:rsid w:val="00DD5234"/>
    <w:rsid w:val="00DD622B"/>
    <w:rsid w:val="00DD6CB9"/>
    <w:rsid w:val="00DE1BD0"/>
    <w:rsid w:val="00DE27F8"/>
    <w:rsid w:val="00DE55A6"/>
    <w:rsid w:val="00DE693B"/>
    <w:rsid w:val="00DE6A01"/>
    <w:rsid w:val="00DF1E55"/>
    <w:rsid w:val="00E010D9"/>
    <w:rsid w:val="00E1371C"/>
    <w:rsid w:val="00E14905"/>
    <w:rsid w:val="00E17087"/>
    <w:rsid w:val="00E307F8"/>
    <w:rsid w:val="00E30E83"/>
    <w:rsid w:val="00E314FC"/>
    <w:rsid w:val="00E409B4"/>
    <w:rsid w:val="00E42B0B"/>
    <w:rsid w:val="00E47083"/>
    <w:rsid w:val="00E47926"/>
    <w:rsid w:val="00E529EF"/>
    <w:rsid w:val="00E52C47"/>
    <w:rsid w:val="00E53919"/>
    <w:rsid w:val="00E53DCA"/>
    <w:rsid w:val="00E574EC"/>
    <w:rsid w:val="00E6399A"/>
    <w:rsid w:val="00E72F4B"/>
    <w:rsid w:val="00E8185E"/>
    <w:rsid w:val="00E84BC7"/>
    <w:rsid w:val="00E85209"/>
    <w:rsid w:val="00E8785C"/>
    <w:rsid w:val="00E87AF4"/>
    <w:rsid w:val="00E9224C"/>
    <w:rsid w:val="00E95B1A"/>
    <w:rsid w:val="00E97907"/>
    <w:rsid w:val="00EA3AC4"/>
    <w:rsid w:val="00EA47FF"/>
    <w:rsid w:val="00EB54F3"/>
    <w:rsid w:val="00EB6DB9"/>
    <w:rsid w:val="00EB7F68"/>
    <w:rsid w:val="00EC036E"/>
    <w:rsid w:val="00EC0828"/>
    <w:rsid w:val="00EC38AE"/>
    <w:rsid w:val="00EC641A"/>
    <w:rsid w:val="00EC6B07"/>
    <w:rsid w:val="00ED0AC3"/>
    <w:rsid w:val="00ED22BC"/>
    <w:rsid w:val="00ED76BF"/>
    <w:rsid w:val="00EE0D2D"/>
    <w:rsid w:val="00EE3ADF"/>
    <w:rsid w:val="00EE5396"/>
    <w:rsid w:val="00EE6176"/>
    <w:rsid w:val="00EF0A83"/>
    <w:rsid w:val="00EF324D"/>
    <w:rsid w:val="00EF52E1"/>
    <w:rsid w:val="00EF5D3D"/>
    <w:rsid w:val="00EF6363"/>
    <w:rsid w:val="00F047A9"/>
    <w:rsid w:val="00F063F4"/>
    <w:rsid w:val="00F07C3A"/>
    <w:rsid w:val="00F15BB7"/>
    <w:rsid w:val="00F15C25"/>
    <w:rsid w:val="00F16636"/>
    <w:rsid w:val="00F17A0F"/>
    <w:rsid w:val="00F201A8"/>
    <w:rsid w:val="00F218A9"/>
    <w:rsid w:val="00F30E99"/>
    <w:rsid w:val="00F34B89"/>
    <w:rsid w:val="00F36127"/>
    <w:rsid w:val="00F37C02"/>
    <w:rsid w:val="00F43952"/>
    <w:rsid w:val="00F449CA"/>
    <w:rsid w:val="00F45551"/>
    <w:rsid w:val="00F45ABA"/>
    <w:rsid w:val="00F45F44"/>
    <w:rsid w:val="00F46B15"/>
    <w:rsid w:val="00F46DCE"/>
    <w:rsid w:val="00F50C1A"/>
    <w:rsid w:val="00F51170"/>
    <w:rsid w:val="00F56078"/>
    <w:rsid w:val="00F636CC"/>
    <w:rsid w:val="00F65129"/>
    <w:rsid w:val="00F66624"/>
    <w:rsid w:val="00F66BB6"/>
    <w:rsid w:val="00F66C18"/>
    <w:rsid w:val="00F67860"/>
    <w:rsid w:val="00F7164D"/>
    <w:rsid w:val="00F74AD4"/>
    <w:rsid w:val="00F760E7"/>
    <w:rsid w:val="00F7759E"/>
    <w:rsid w:val="00F822A7"/>
    <w:rsid w:val="00F8394C"/>
    <w:rsid w:val="00F83B83"/>
    <w:rsid w:val="00F860AD"/>
    <w:rsid w:val="00F90E2E"/>
    <w:rsid w:val="00FA05C8"/>
    <w:rsid w:val="00FA0EBC"/>
    <w:rsid w:val="00FA1112"/>
    <w:rsid w:val="00FA1A39"/>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iagramaDiagrama">
    <w:name w:val="Diagrama Diagrama"/>
    <w:basedOn w:val="Normal"/>
    <w:rsid w:val="009C336C"/>
    <w:pPr>
      <w:spacing w:after="160" w:line="240" w:lineRule="exact"/>
    </w:pPr>
    <w:rPr>
      <w:rFonts w:ascii="Tahoma" w:hAnsi="Tahoma"/>
      <w:sz w:val="20"/>
      <w:lang w:val="en-US" w:eastAsia="en-US"/>
    </w:rPr>
  </w:style>
  <w:style w:type="paragraph" w:styleId="NoSpacing">
    <w:name w:val="No Spacing"/>
    <w:uiPriority w:val="1"/>
    <w:qFormat/>
    <w:rsid w:val="009C336C"/>
    <w:pPr>
      <w:spacing w:after="0"/>
      <w:jc w:val="left"/>
    </w:pPr>
    <w:rPr>
      <w:rFonts w:ascii="Calibri" w:eastAsia="Calibri" w:hAnsi="Calibri"/>
      <w:sz w:val="22"/>
    </w:rPr>
  </w:style>
  <w:style w:type="paragraph" w:styleId="FootnoteText">
    <w:name w:val="footnote text"/>
    <w:basedOn w:val="Normal"/>
    <w:link w:val="FootnoteTextChar"/>
    <w:uiPriority w:val="99"/>
    <w:semiHidden/>
    <w:unhideWhenUsed/>
    <w:rsid w:val="00BA08B7"/>
    <w:rPr>
      <w:sz w:val="20"/>
    </w:rPr>
  </w:style>
  <w:style w:type="character" w:customStyle="1" w:styleId="FootnoteTextChar">
    <w:name w:val="Footnote Text Char"/>
    <w:basedOn w:val="DefaultParagraphFont"/>
    <w:link w:val="FootnoteText"/>
    <w:uiPriority w:val="99"/>
    <w:semiHidden/>
    <w:rsid w:val="00BA08B7"/>
    <w:rPr>
      <w:rFonts w:eastAsia="Times New Roman"/>
      <w:sz w:val="20"/>
      <w:szCs w:val="20"/>
      <w:lang w:eastAsia="lt-LT"/>
    </w:rPr>
  </w:style>
  <w:style w:type="character" w:styleId="FootnoteReference">
    <w:name w:val="footnote reference"/>
    <w:basedOn w:val="DefaultParagraphFont"/>
    <w:uiPriority w:val="99"/>
    <w:semiHidden/>
    <w:unhideWhenUsed/>
    <w:rsid w:val="00BA08B7"/>
    <w:rPr>
      <w:vertAlign w:val="superscript"/>
    </w:rPr>
  </w:style>
  <w:style w:type="paragraph" w:customStyle="1" w:styleId="gmail-msolistparagraph">
    <w:name w:val="gmail-msolistparagraph"/>
    <w:basedOn w:val="Normal"/>
    <w:rsid w:val="00256152"/>
    <w:pPr>
      <w:spacing w:before="100" w:beforeAutospacing="1" w:after="100" w:afterAutospacing="1"/>
    </w:pPr>
    <w:rPr>
      <w:rFonts w:ascii="Aptos" w:eastAsiaTheme="minorHAnsi" w:hAnsi="Aptos" w:cs="Aptos"/>
      <w:szCs w:val="24"/>
    </w:rPr>
  </w:style>
  <w:style w:type="character" w:styleId="Strong">
    <w:name w:val="Strong"/>
    <w:basedOn w:val="DefaultParagraphFont"/>
    <w:uiPriority w:val="22"/>
    <w:qFormat/>
    <w:rsid w:val="00EE3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8094">
      <w:bodyDiv w:val="1"/>
      <w:marLeft w:val="0"/>
      <w:marRight w:val="0"/>
      <w:marTop w:val="0"/>
      <w:marBottom w:val="0"/>
      <w:divBdr>
        <w:top w:val="none" w:sz="0" w:space="0" w:color="auto"/>
        <w:left w:val="none" w:sz="0" w:space="0" w:color="auto"/>
        <w:bottom w:val="none" w:sz="0" w:space="0" w:color="auto"/>
        <w:right w:val="none" w:sz="0" w:space="0" w:color="auto"/>
      </w:divBdr>
    </w:div>
    <w:div w:id="67845555">
      <w:bodyDiv w:val="1"/>
      <w:marLeft w:val="0"/>
      <w:marRight w:val="0"/>
      <w:marTop w:val="0"/>
      <w:marBottom w:val="0"/>
      <w:divBdr>
        <w:top w:val="none" w:sz="0" w:space="0" w:color="auto"/>
        <w:left w:val="none" w:sz="0" w:space="0" w:color="auto"/>
        <w:bottom w:val="none" w:sz="0" w:space="0" w:color="auto"/>
        <w:right w:val="none" w:sz="0" w:space="0" w:color="auto"/>
      </w:divBdr>
    </w:div>
    <w:div w:id="84036250">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88180771">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0632048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84322232">
      <w:bodyDiv w:val="1"/>
      <w:marLeft w:val="0"/>
      <w:marRight w:val="0"/>
      <w:marTop w:val="0"/>
      <w:marBottom w:val="0"/>
      <w:divBdr>
        <w:top w:val="none" w:sz="0" w:space="0" w:color="auto"/>
        <w:left w:val="none" w:sz="0" w:space="0" w:color="auto"/>
        <w:bottom w:val="none" w:sz="0" w:space="0" w:color="auto"/>
        <w:right w:val="none" w:sz="0" w:space="0" w:color="auto"/>
      </w:divBdr>
    </w:div>
    <w:div w:id="625815203">
      <w:bodyDiv w:val="1"/>
      <w:marLeft w:val="0"/>
      <w:marRight w:val="0"/>
      <w:marTop w:val="0"/>
      <w:marBottom w:val="0"/>
      <w:divBdr>
        <w:top w:val="none" w:sz="0" w:space="0" w:color="auto"/>
        <w:left w:val="none" w:sz="0" w:space="0" w:color="auto"/>
        <w:bottom w:val="none" w:sz="0" w:space="0" w:color="auto"/>
        <w:right w:val="none" w:sz="0" w:space="0" w:color="auto"/>
      </w:divBdr>
    </w:div>
    <w:div w:id="629749318">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862017866">
      <w:bodyDiv w:val="1"/>
      <w:marLeft w:val="0"/>
      <w:marRight w:val="0"/>
      <w:marTop w:val="0"/>
      <w:marBottom w:val="0"/>
      <w:divBdr>
        <w:top w:val="none" w:sz="0" w:space="0" w:color="auto"/>
        <w:left w:val="none" w:sz="0" w:space="0" w:color="auto"/>
        <w:bottom w:val="none" w:sz="0" w:space="0" w:color="auto"/>
        <w:right w:val="none" w:sz="0" w:space="0" w:color="auto"/>
      </w:divBdr>
    </w:div>
    <w:div w:id="894924546">
      <w:bodyDiv w:val="1"/>
      <w:marLeft w:val="0"/>
      <w:marRight w:val="0"/>
      <w:marTop w:val="0"/>
      <w:marBottom w:val="0"/>
      <w:divBdr>
        <w:top w:val="none" w:sz="0" w:space="0" w:color="auto"/>
        <w:left w:val="none" w:sz="0" w:space="0" w:color="auto"/>
        <w:bottom w:val="none" w:sz="0" w:space="0" w:color="auto"/>
        <w:right w:val="none" w:sz="0" w:space="0" w:color="auto"/>
      </w:divBdr>
    </w:div>
    <w:div w:id="950167886">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312767">
      <w:bodyDiv w:val="1"/>
      <w:marLeft w:val="0"/>
      <w:marRight w:val="0"/>
      <w:marTop w:val="0"/>
      <w:marBottom w:val="0"/>
      <w:divBdr>
        <w:top w:val="none" w:sz="0" w:space="0" w:color="auto"/>
        <w:left w:val="none" w:sz="0" w:space="0" w:color="auto"/>
        <w:bottom w:val="none" w:sz="0" w:space="0" w:color="auto"/>
        <w:right w:val="none" w:sz="0" w:space="0" w:color="auto"/>
      </w:divBdr>
    </w:div>
    <w:div w:id="1181702228">
      <w:bodyDiv w:val="1"/>
      <w:marLeft w:val="0"/>
      <w:marRight w:val="0"/>
      <w:marTop w:val="0"/>
      <w:marBottom w:val="0"/>
      <w:divBdr>
        <w:top w:val="none" w:sz="0" w:space="0" w:color="auto"/>
        <w:left w:val="none" w:sz="0" w:space="0" w:color="auto"/>
        <w:bottom w:val="none" w:sz="0" w:space="0" w:color="auto"/>
        <w:right w:val="none" w:sz="0" w:space="0" w:color="auto"/>
      </w:divBdr>
    </w:div>
    <w:div w:id="1282883311">
      <w:bodyDiv w:val="1"/>
      <w:marLeft w:val="0"/>
      <w:marRight w:val="0"/>
      <w:marTop w:val="0"/>
      <w:marBottom w:val="0"/>
      <w:divBdr>
        <w:top w:val="none" w:sz="0" w:space="0" w:color="auto"/>
        <w:left w:val="none" w:sz="0" w:space="0" w:color="auto"/>
        <w:bottom w:val="none" w:sz="0" w:space="0" w:color="auto"/>
        <w:right w:val="none" w:sz="0" w:space="0" w:color="auto"/>
      </w:divBdr>
    </w:div>
    <w:div w:id="1332484877">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91410453">
      <w:bodyDiv w:val="1"/>
      <w:marLeft w:val="0"/>
      <w:marRight w:val="0"/>
      <w:marTop w:val="0"/>
      <w:marBottom w:val="0"/>
      <w:divBdr>
        <w:top w:val="none" w:sz="0" w:space="0" w:color="auto"/>
        <w:left w:val="none" w:sz="0" w:space="0" w:color="auto"/>
        <w:bottom w:val="none" w:sz="0" w:space="0" w:color="auto"/>
        <w:right w:val="none" w:sz="0" w:space="0" w:color="auto"/>
      </w:divBdr>
    </w:div>
    <w:div w:id="1516652388">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791823470">
      <w:bodyDiv w:val="1"/>
      <w:marLeft w:val="0"/>
      <w:marRight w:val="0"/>
      <w:marTop w:val="0"/>
      <w:marBottom w:val="0"/>
      <w:divBdr>
        <w:top w:val="none" w:sz="0" w:space="0" w:color="auto"/>
        <w:left w:val="none" w:sz="0" w:space="0" w:color="auto"/>
        <w:bottom w:val="none" w:sz="0" w:space="0" w:color="auto"/>
        <w:right w:val="none" w:sz="0" w:space="0" w:color="auto"/>
      </w:divBdr>
    </w:div>
    <w:div w:id="1904635921">
      <w:bodyDiv w:val="1"/>
      <w:marLeft w:val="0"/>
      <w:marRight w:val="0"/>
      <w:marTop w:val="0"/>
      <w:marBottom w:val="0"/>
      <w:divBdr>
        <w:top w:val="none" w:sz="0" w:space="0" w:color="auto"/>
        <w:left w:val="none" w:sz="0" w:space="0" w:color="auto"/>
        <w:bottom w:val="none" w:sz="0" w:space="0" w:color="auto"/>
        <w:right w:val="none" w:sz="0" w:space="0" w:color="auto"/>
      </w:divBdr>
    </w:div>
    <w:div w:id="2052217749">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web/products-manuals-and-guidelines/-/ks-01-18-85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8" ma:contentTypeDescription="Create a new document." ma:contentTypeScope="" ma:versionID="133109209aa656df6cff2cb569fce98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b44fdea9bbdc7a6d11affd0f2bf13879"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35EFFE4-F6C8-4DC8-9628-455D5E79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7824</Words>
  <Characters>4460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Edita Rudakaitė-Šaukštel</cp:lastModifiedBy>
  <cp:revision>2</cp:revision>
  <dcterms:created xsi:type="dcterms:W3CDTF">2025-07-28T13:55:00Z</dcterms:created>
  <dcterms:modified xsi:type="dcterms:W3CDTF">2025-07-28T13:55:00Z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