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1FFD0E7" w:rsidR="005860A9" w:rsidRDefault="007F7ADD" w:rsidP="007F7AD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VIEŠOJI KONSULTACIJA DĖL „ŽALIOJO PRAMONĖS PARKO“ NACIONALINĖS PROJEKTO ATRANKOS</w:t>
      </w:r>
    </w:p>
    <w:p w14:paraId="3AB8C92F" w14:textId="65CEDE37" w:rsidR="00EE02EB" w:rsidRDefault="00EE02EB" w:rsidP="007F7AD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tyrimas konkurencijos atžvilgiu</w:t>
      </w:r>
    </w:p>
    <w:p w14:paraId="00000002" w14:textId="77777777" w:rsidR="005860A9" w:rsidRDefault="005860A9" w:rsidP="007F7ADD">
      <w:pPr>
        <w:spacing w:after="0" w:line="240" w:lineRule="auto"/>
        <w:jc w:val="center"/>
        <w:rPr>
          <w:rFonts w:ascii="Times New Roman" w:eastAsia="Times New Roman" w:hAnsi="Times New Roman" w:cs="Times New Roman"/>
          <w:sz w:val="24"/>
          <w:szCs w:val="24"/>
        </w:rPr>
      </w:pPr>
    </w:p>
    <w:p w14:paraId="00000003"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Atsižvelgiant į Lietuvos Respublikos aplinkos ministro ir Lietuvos Respublikos energetikos ministro 2025 m. lapkričio 13 d. įsakymą Nr. D1-181/1-254 „Dėl Modernizavimo fondo nacionalinių finansavimo krypčių 2026–2027 metams </w:t>
      </w:r>
      <w:sdt>
        <w:sdtPr>
          <w:tag w:val="goog_rdk_0"/>
          <w:id w:val="-419580078"/>
        </w:sdtPr>
        <w:sdtContent/>
      </w:sdt>
      <w:r>
        <w:rPr>
          <w:rFonts w:ascii="Times New Roman" w:eastAsia="Times New Roman" w:hAnsi="Times New Roman" w:cs="Times New Roman"/>
          <w:sz w:val="24"/>
          <w:szCs w:val="24"/>
        </w:rPr>
        <w:t xml:space="preserve">patvirtinimo“, kuriuo 2026-2027 m. finansavimo krypčiai „Žaliasis pramonės parkas“ (toliau – Projektas) numatyta skirti 20 mln. Eur iš Modernizavimo fondo lėšų, planuojama vykdyti nacionalinę Projekto atranką. </w:t>
      </w:r>
    </w:p>
    <w:p w14:paraId="00000004"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05"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Nacionalinės Projekto atrankos tikslas</w:t>
      </w:r>
      <w:r>
        <w:rPr>
          <w:rFonts w:ascii="Times New Roman" w:eastAsia="Times New Roman" w:hAnsi="Times New Roman" w:cs="Times New Roman"/>
          <w:sz w:val="24"/>
          <w:szCs w:val="24"/>
        </w:rPr>
        <w:t xml:space="preserve"> – viešo, skaidraus konkurso būdu iš baigtinio laisvųjų ekonominių zonų (toliau – LEZ) ir pramoninių parkų sąrašo atrinkti vieną geriausią projektą, kuris bus teikiamas Modernizavimo fondo (toliau – MF) finansavimui per Europos investicijų banką (toliau – EIB). </w:t>
      </w:r>
    </w:p>
    <w:p w14:paraId="00000006"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07"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Modernizavimo fondas – Europos Sąjungos programa, padedanti modernizuoti energetikos sistemas ir gerinti energijos vartojimo efektyvumą, finansuojama ES apyvartinių taršos leidimų aukcionų pajamomis. Paramos sąlygos, prioritetinės sritys ir investicijų tipai apibrėžti Europos Sąjungos apyvartinių taršos leidimų prekybos sistemos (ETS) direktyvoje ir Komisijos įgyvendinimo reglamente, o praktinė informacija pateikiama MF ir EIB  tinklapiuose.</w:t>
      </w:r>
    </w:p>
    <w:p w14:paraId="00000008"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09" w14:textId="77777777" w:rsidR="005860A9" w:rsidRDefault="003407AF" w:rsidP="00406A0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Nacionalinė Projekto atranka turi užtikrinti, kad Projekto turinys atitiktų MF prioritetus:</w:t>
      </w:r>
    </w:p>
    <w:p w14:paraId="47AAC66E" w14:textId="77777777" w:rsidR="00406A04" w:rsidRPr="00406A04" w:rsidRDefault="00406A04" w:rsidP="00406A04">
      <w:pPr>
        <w:pStyle w:val="ListBullet"/>
        <w:ind w:left="0" w:firstLine="851"/>
        <w:jc w:val="both"/>
        <w:rPr>
          <w:rFonts w:ascii="Times New Roman" w:eastAsia="Times New Roman" w:hAnsi="Times New Roman" w:cs="Times New Roman"/>
          <w:sz w:val="24"/>
          <w:szCs w:val="24"/>
        </w:rPr>
      </w:pPr>
      <w:r w:rsidRPr="00406A04">
        <w:rPr>
          <w:rFonts w:ascii="Times New Roman" w:eastAsia="Times New Roman" w:hAnsi="Times New Roman" w:cs="Times New Roman"/>
          <w:sz w:val="24"/>
          <w:szCs w:val="24"/>
        </w:rPr>
        <w:t>elektros energijai iš atsinaujinančių energijos išteklių, įskaitant vandenilį iš atsinaujinančių energijos išteklių, gaminti ir naudoti;</w:t>
      </w:r>
    </w:p>
    <w:p w14:paraId="08EA7227" w14:textId="0794DD85" w:rsidR="00406A04" w:rsidRPr="00406A04" w:rsidRDefault="00406A04" w:rsidP="00406A04">
      <w:pPr>
        <w:pStyle w:val="ListBullet"/>
        <w:ind w:left="0" w:firstLine="851"/>
        <w:jc w:val="both"/>
        <w:rPr>
          <w:rFonts w:ascii="Times New Roman" w:eastAsia="Times New Roman" w:hAnsi="Times New Roman" w:cs="Times New Roman"/>
          <w:sz w:val="24"/>
          <w:szCs w:val="24"/>
        </w:rPr>
      </w:pPr>
      <w:r w:rsidRPr="00406A04">
        <w:rPr>
          <w:rFonts w:ascii="Times New Roman" w:eastAsia="Times New Roman" w:hAnsi="Times New Roman" w:cs="Times New Roman"/>
          <w:sz w:val="24"/>
          <w:szCs w:val="24"/>
        </w:rPr>
        <w:t>šilumos ir (ar) vėsumos gamybai iš atsinaujinančių energijos išteklių;</w:t>
      </w:r>
    </w:p>
    <w:p w14:paraId="4A349860" w14:textId="7502FD26" w:rsidR="00406A04" w:rsidRPr="00406A04" w:rsidRDefault="00406A04" w:rsidP="00406A04">
      <w:pPr>
        <w:pStyle w:val="ListBullet"/>
        <w:ind w:left="0" w:firstLine="851"/>
        <w:jc w:val="both"/>
        <w:rPr>
          <w:rFonts w:ascii="Times New Roman" w:eastAsia="Times New Roman" w:hAnsi="Times New Roman" w:cs="Times New Roman"/>
          <w:sz w:val="24"/>
          <w:szCs w:val="24"/>
        </w:rPr>
      </w:pPr>
      <w:r w:rsidRPr="00406A04">
        <w:rPr>
          <w:rFonts w:ascii="Times New Roman" w:eastAsia="Times New Roman" w:hAnsi="Times New Roman" w:cs="Times New Roman"/>
          <w:sz w:val="24"/>
          <w:szCs w:val="24"/>
        </w:rPr>
        <w:t xml:space="preserve">bendram šilumos ir elektros energijos suvartojimui mažinti didinant energijos vartojimo efektyvumą, įskaitant pramonės, transporto, pastatų, žemės ūkio ir atliekų sektorius; </w:t>
      </w:r>
    </w:p>
    <w:p w14:paraId="0000000E" w14:textId="43A0BF38" w:rsidR="005860A9" w:rsidRDefault="00406A04" w:rsidP="00F924DF">
      <w:pPr>
        <w:pStyle w:val="ListBullet"/>
        <w:spacing w:after="0"/>
        <w:ind w:left="0" w:firstLine="851"/>
        <w:jc w:val="both"/>
        <w:rPr>
          <w:rFonts w:ascii="Times New Roman" w:eastAsia="Times New Roman" w:hAnsi="Times New Roman" w:cs="Times New Roman"/>
          <w:sz w:val="24"/>
          <w:szCs w:val="24"/>
        </w:rPr>
      </w:pPr>
      <w:r w:rsidRPr="00406A04">
        <w:rPr>
          <w:rFonts w:ascii="Times New Roman" w:eastAsia="Times New Roman" w:hAnsi="Times New Roman" w:cs="Times New Roman"/>
          <w:sz w:val="24"/>
          <w:szCs w:val="24"/>
        </w:rPr>
        <w:t>elektros energijai ir (ar) šilumos energijai kaupti ir energetikos tinklams modernizuoti, įskaitant energijos paklausos valdymo priemonių įgyvendinimą, centralizuoto šilumos tiekimo vamzdynų ir elektros perdavimo tinklų modernizavimą, jungčių tarp valstybių narių pralaidumų didinimą ir visai netaršaus judumo infrastruktūros sukūrimą ir (ar) plėtrą</w:t>
      </w:r>
      <w:r w:rsidR="003407AF">
        <w:rPr>
          <w:rFonts w:ascii="Times New Roman" w:eastAsia="Times New Roman" w:hAnsi="Times New Roman" w:cs="Times New Roman"/>
          <w:sz w:val="24"/>
          <w:szCs w:val="24"/>
        </w:rPr>
        <w:t>.</w:t>
      </w:r>
    </w:p>
    <w:p w14:paraId="0000000F"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0" w14:textId="7FB5E8D5"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Nacionalinė Projekto atranka taip pat turi atitikti patvirtiną nacional</w:t>
      </w:r>
      <w:r w:rsidR="007F7ADD">
        <w:rPr>
          <w:rFonts w:ascii="Times New Roman" w:eastAsia="Times New Roman" w:hAnsi="Times New Roman" w:cs="Times New Roman"/>
          <w:sz w:val="24"/>
          <w:szCs w:val="24"/>
        </w:rPr>
        <w:t>in</w:t>
      </w:r>
      <w:r>
        <w:rPr>
          <w:rFonts w:ascii="Times New Roman" w:eastAsia="Times New Roman" w:hAnsi="Times New Roman" w:cs="Times New Roman"/>
          <w:sz w:val="24"/>
          <w:szCs w:val="24"/>
        </w:rPr>
        <w:t>ę MF finansavimo kryptį „Žaliasis pramonės parkas“.</w:t>
      </w:r>
    </w:p>
    <w:p w14:paraId="00000011"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2"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Konkurencijos įstatymo 4 ir 4(1) straipsniuose yra nustatyti reikalavimai dėl sąžiningos konkurencijos užtikrinimo, nediskriminavimo ir privilegijų nesuteikimo viešojo administravimo sprendimais. Konkurencijos tarybos Sprendimų poveikio konkurencijai vertinimo gairės (toliau – Gairės) detalizuoja, kaip išvengti tiek tiesioginių, tiek netiesioginių įėjimo į rinką kliūčių, nevienodų sąlygų ir selektyvaus reglamentavimo. </w:t>
      </w:r>
    </w:p>
    <w:p w14:paraId="00000013"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4" w14:textId="3C5DB311" w:rsidR="005860A9" w:rsidRDefault="007F7ADD" w:rsidP="007F7ADD">
      <w:pPr>
        <w:spacing w:after="0" w:line="240" w:lineRule="auto"/>
        <w:ind w:firstLine="851"/>
        <w:jc w:val="both"/>
        <w:rPr>
          <w:rFonts w:ascii="Times New Roman" w:eastAsia="Times New Roman" w:hAnsi="Times New Roman" w:cs="Times New Roman"/>
          <w:sz w:val="24"/>
          <w:szCs w:val="24"/>
        </w:rPr>
      </w:pPr>
      <w:r w:rsidRPr="007F7ADD">
        <w:rPr>
          <w:rFonts w:ascii="Times New Roman" w:eastAsia="Times New Roman" w:hAnsi="Times New Roman" w:cs="Times New Roman"/>
          <w:sz w:val="24"/>
          <w:szCs w:val="24"/>
        </w:rPr>
        <w:t>Nacionalinė Projekto atranka bus vykdoma pagal MF investicijų formos logiką (</w:t>
      </w:r>
      <w:proofErr w:type="spellStart"/>
      <w:r w:rsidRPr="007F7ADD">
        <w:rPr>
          <w:rFonts w:ascii="Times New Roman" w:eastAsia="Times New Roman" w:hAnsi="Times New Roman" w:cs="Times New Roman"/>
          <w:sz w:val="24"/>
          <w:szCs w:val="24"/>
        </w:rPr>
        <w:t>Appendix</w:t>
      </w:r>
      <w:proofErr w:type="spellEnd"/>
      <w:r w:rsidRPr="007F7ADD">
        <w:rPr>
          <w:rFonts w:ascii="Times New Roman" w:eastAsia="Times New Roman" w:hAnsi="Times New Roman" w:cs="Times New Roman"/>
          <w:sz w:val="24"/>
          <w:szCs w:val="24"/>
        </w:rPr>
        <w:t xml:space="preserve"> 4) ir EIB vertinimo praktiką, kad nacionalinė konkurencija užtikrintų</w:t>
      </w:r>
      <w:r>
        <w:t xml:space="preserve"> </w:t>
      </w:r>
      <w:r w:rsidR="003407AF">
        <w:rPr>
          <w:rFonts w:ascii="Times New Roman" w:eastAsia="Times New Roman" w:hAnsi="Times New Roman" w:cs="Times New Roman"/>
          <w:sz w:val="24"/>
          <w:szCs w:val="24"/>
        </w:rPr>
        <w:t xml:space="preserve">geriausią rezultatą pagal šiltnamio efektą </w:t>
      </w:r>
      <w:proofErr w:type="spellStart"/>
      <w:r w:rsidR="003407AF">
        <w:rPr>
          <w:rFonts w:ascii="Times New Roman" w:eastAsia="Times New Roman" w:hAnsi="Times New Roman" w:cs="Times New Roman"/>
          <w:sz w:val="24"/>
          <w:szCs w:val="24"/>
        </w:rPr>
        <w:t>sukelenčių</w:t>
      </w:r>
      <w:proofErr w:type="spellEnd"/>
      <w:r w:rsidR="003407AF">
        <w:rPr>
          <w:rFonts w:ascii="Times New Roman" w:eastAsia="Times New Roman" w:hAnsi="Times New Roman" w:cs="Times New Roman"/>
          <w:sz w:val="24"/>
          <w:szCs w:val="24"/>
        </w:rPr>
        <w:t xml:space="preserve"> dujų (toliau - ŠESD) mažinimo, kaštų efektyvumo ir įgyvendinamumo </w:t>
      </w:r>
      <w:r w:rsidR="003407AF">
        <w:rPr>
          <w:rFonts w:ascii="Times New Roman" w:eastAsia="Times New Roman" w:hAnsi="Times New Roman" w:cs="Times New Roman"/>
          <w:sz w:val="24"/>
          <w:szCs w:val="24"/>
        </w:rPr>
        <w:lastRenderedPageBreak/>
        <w:t>kriterijus. Tokiu būdu nacionalinis konkurencinis procesas sukuria aiškią atranką ir eliminuoja privilegijų riziką.</w:t>
      </w:r>
    </w:p>
    <w:p w14:paraId="00000015"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6" w14:textId="4AC997F0"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Finansavimo krypčiai „Žaliasis pramonės parkas“ tinkami pareiškėjai yra LEZ valdymo bendrovės ir (ar) pramonės parkų valdymo </w:t>
      </w:r>
      <w:sdt>
        <w:sdtPr>
          <w:tag w:val="goog_rdk_3"/>
          <w:id w:val="-763080507"/>
        </w:sdtPr>
        <w:sdtContent/>
      </w:sdt>
      <w:r>
        <w:rPr>
          <w:rFonts w:ascii="Times New Roman" w:eastAsia="Times New Roman" w:hAnsi="Times New Roman" w:cs="Times New Roman"/>
          <w:sz w:val="24"/>
          <w:szCs w:val="24"/>
        </w:rPr>
        <w:t>operatoriai, kurių sąrašas yra baigtinis ir skelbimas Ekonomikos ir inovacijų ministerijos tinklapyje</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Nacionalinėje Projekto atrankoje gali dalyvauti visos LEZ valdymo bendrovės ir (ar) pramonės parkų valdymo </w:t>
      </w:r>
      <w:sdt>
        <w:sdtPr>
          <w:tag w:val="goog_rdk_4"/>
          <w:id w:val="-1805467309"/>
        </w:sdtPr>
        <w:sdtContent/>
      </w:sdt>
      <w:r>
        <w:rPr>
          <w:rFonts w:ascii="Times New Roman" w:eastAsia="Times New Roman" w:hAnsi="Times New Roman" w:cs="Times New Roman"/>
          <w:sz w:val="24"/>
          <w:szCs w:val="24"/>
        </w:rPr>
        <w:t xml:space="preserve">operatoriai, todėl nėra nei kvotavimo, nei selektyvaus ribojimo – konkurencija neiškreipiama, o pareiškėjų ratas ne siaurinamas papildomais subjektyviais kriterijais. Siekiant išvengti diskriminacijos, atrankos kriterijai nustatomi </w:t>
      </w:r>
      <w:proofErr w:type="spellStart"/>
      <w:r>
        <w:rPr>
          <w:rFonts w:ascii="Times New Roman" w:eastAsia="Times New Roman" w:hAnsi="Times New Roman" w:cs="Times New Roman"/>
          <w:i/>
          <w:iCs/>
          <w:sz w:val="24"/>
          <w:szCs w:val="24"/>
        </w:rPr>
        <w:t>ex</w:t>
      </w:r>
      <w:proofErr w:type="spellEnd"/>
      <w:r>
        <w:rPr>
          <w:rFonts w:ascii="Times New Roman" w:eastAsia="Times New Roman" w:hAnsi="Times New Roman" w:cs="Times New Roman"/>
          <w:i/>
          <w:iCs/>
          <w:sz w:val="24"/>
          <w:szCs w:val="24"/>
        </w:rPr>
        <w:t xml:space="preserve"> ante</w:t>
      </w:r>
      <w:r>
        <w:rPr>
          <w:rFonts w:ascii="Times New Roman" w:eastAsia="Times New Roman" w:hAnsi="Times New Roman" w:cs="Times New Roman"/>
          <w:sz w:val="24"/>
          <w:szCs w:val="24"/>
        </w:rPr>
        <w:t>, taikomi vienodai ir susieti su MF prioritetų turiniu, atrankos taisyklės ir vertinimo metodika iš anksto žinomi visiems galimiems pareiškėjams.</w:t>
      </w:r>
    </w:p>
    <w:p w14:paraId="00000017"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8"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Nacionalinės Projekto atrankos taisyklėse numatytas konkursinis vieno etapo vertinimas, kuris atitinka Konkurencijos tarybos Gairėse nubrėžtą logiką: nėra fiksuojamas ūkio subjektų skaičius, nėra licencinių ar kitų nepagrįstų įėjimo kliūčių, o skirtingi sprendimai pagrindžiami viešai paskelbtais kriterijais (kaštų efektyvumu, reikšmingu ŠESD mažinimu, technologiniu įgyvendinamumu ir pan.).</w:t>
      </w:r>
    </w:p>
    <w:p w14:paraId="00000019"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A"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Kadangi MF Projekto teikimui numatomas vienas nacionalinis projektas, būtina, kad konkurencija įvyktų dabar, o ne MF Projekto teikimo etape. Nacionalinės atrankos taisyklėse įtvirtintas vertinimo kriterijų modelis užtikrina, kad būtų </w:t>
      </w:r>
      <w:sdt>
        <w:sdtPr>
          <w:tag w:val="goog_rdk_5"/>
          <w:id w:val="1743436412"/>
        </w:sdtPr>
        <w:sdtContent/>
      </w:sdt>
      <w:r>
        <w:rPr>
          <w:rFonts w:ascii="Times New Roman" w:eastAsia="Times New Roman" w:hAnsi="Times New Roman" w:cs="Times New Roman"/>
          <w:sz w:val="24"/>
          <w:szCs w:val="24"/>
        </w:rPr>
        <w:t xml:space="preserve">pasirinktas pasiūlymas, kuris maksimizuoja ŠESD sutaupymus ir minimizuoja MF paramos kaštą vienai </w:t>
      </w:r>
      <w:proofErr w:type="spellStart"/>
      <w:r>
        <w:rPr>
          <w:rFonts w:ascii="Times New Roman" w:eastAsia="Times New Roman" w:hAnsi="Times New Roman" w:cs="Times New Roman"/>
          <w:sz w:val="24"/>
          <w:szCs w:val="24"/>
        </w:rPr>
        <w:t>tCO</w:t>
      </w:r>
      <w:proofErr w:type="spellEnd"/>
      <w:r>
        <w:rPr>
          <w:rFonts w:ascii="Times New Roman" w:eastAsia="Times New Roman" w:hAnsi="Times New Roman" w:cs="Times New Roman"/>
          <w:sz w:val="24"/>
          <w:szCs w:val="24"/>
        </w:rPr>
        <w:t xml:space="preserve">₂, kartu įvertinant technologinį įgyvendinamumą, tiekimo patikimumo ir ekosistemos / kompetencijų poveikį. Tokia atranka tiesiogiai atliepia </w:t>
      </w:r>
      <w:proofErr w:type="spellStart"/>
      <w:r>
        <w:rPr>
          <w:rFonts w:ascii="Times New Roman" w:eastAsia="Times New Roman" w:hAnsi="Times New Roman" w:cs="Times New Roman"/>
          <w:sz w:val="24"/>
          <w:szCs w:val="24"/>
        </w:rPr>
        <w:t>Appendix</w:t>
      </w:r>
      <w:proofErr w:type="spellEnd"/>
      <w:r>
        <w:rPr>
          <w:rFonts w:ascii="Times New Roman" w:eastAsia="Times New Roman" w:hAnsi="Times New Roman" w:cs="Times New Roman"/>
          <w:sz w:val="24"/>
          <w:szCs w:val="24"/>
        </w:rPr>
        <w:t xml:space="preserve"> 4 formos turinį, EIB pastabas, todėl sumažina riziką, kad vėlesniame etape tektų keisti projekto apimtį ar struktūrą.</w:t>
      </w:r>
    </w:p>
    <w:p w14:paraId="0000001B"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C"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Nacionalinėje Projekto atrankoje reikalaujama pateikti visą informaciją, kurios reikia MF formai: aiškią investicijos apibrėžtį, rodiklius, kaštų išklotinę su kainomis ir finansavimo planu, įrodymus dėl reikšmingos žalos nedarymo principo, leidimų statusą ir grafiką, valstybės pagalbos režimo pasirinkimą su intensyvumo skaičiavimais. Taip užtikrinama, kad atrankos laimėtojas faktiškai bus tinkamas MF finansavimui gauti be papildomų esminių duomenų trūkumų, o EIB vertinimas būtų sklandus. Visi nacionalinės atrankos  reikalavimai tiesiogiai perkeliami iš </w:t>
      </w:r>
      <w:proofErr w:type="spellStart"/>
      <w:r>
        <w:rPr>
          <w:rFonts w:ascii="Times New Roman" w:eastAsia="Times New Roman" w:hAnsi="Times New Roman" w:cs="Times New Roman"/>
          <w:sz w:val="24"/>
          <w:szCs w:val="24"/>
        </w:rPr>
        <w:t>Appendix</w:t>
      </w:r>
      <w:proofErr w:type="spellEnd"/>
      <w:r>
        <w:rPr>
          <w:rFonts w:ascii="Times New Roman" w:eastAsia="Times New Roman" w:hAnsi="Times New Roman" w:cs="Times New Roman"/>
          <w:sz w:val="24"/>
          <w:szCs w:val="24"/>
        </w:rPr>
        <w:t xml:space="preserve"> 4 formos ir EIB pastabų.</w:t>
      </w:r>
    </w:p>
    <w:p w14:paraId="0000001D"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1E" w14:textId="77777777" w:rsidR="005860A9" w:rsidRDefault="00000000" w:rsidP="007F7ADD">
      <w:pPr>
        <w:spacing w:after="0" w:line="240" w:lineRule="auto"/>
        <w:ind w:firstLine="851"/>
        <w:jc w:val="both"/>
        <w:rPr>
          <w:rFonts w:ascii="Times New Roman" w:eastAsia="Times New Roman" w:hAnsi="Times New Roman" w:cs="Times New Roman"/>
          <w:sz w:val="24"/>
          <w:szCs w:val="24"/>
        </w:rPr>
      </w:pPr>
      <w:sdt>
        <w:sdtPr>
          <w:tag w:val="goog_rdk_6"/>
          <w:id w:val="-214120440"/>
        </w:sdtPr>
        <w:sdtContent/>
      </w:sdt>
      <w:sdt>
        <w:sdtPr>
          <w:tag w:val="goog_rdk_7"/>
          <w:id w:val="-1573205715"/>
        </w:sdtPr>
        <w:sdtContent/>
      </w:sdt>
      <w:r w:rsidR="003407AF">
        <w:rPr>
          <w:rFonts w:ascii="Times New Roman" w:eastAsia="Times New Roman" w:hAnsi="Times New Roman" w:cs="Times New Roman"/>
          <w:sz w:val="24"/>
          <w:szCs w:val="24"/>
        </w:rPr>
        <w:t xml:space="preserve">MF lėšų skyrimas LEZ ir pramonės parkų investicijoms turi atitikti Bendrojo bendrosios išimties reglamento normas. EIB nurodo įvardyti taikomus straipsnius ir intensyvumus </w:t>
      </w:r>
      <w:sdt>
        <w:sdtPr>
          <w:tag w:val="goog_rdk_8"/>
          <w:id w:val="1004651487"/>
        </w:sdtPr>
        <w:sdtContent/>
      </w:sdt>
      <w:sdt>
        <w:sdtPr>
          <w:tag w:val="goog_rdk_9"/>
          <w:id w:val="173044791"/>
        </w:sdtPr>
        <w:sdtContent/>
      </w:sdt>
      <w:r w:rsidR="003407AF">
        <w:rPr>
          <w:rFonts w:ascii="Times New Roman" w:eastAsia="Times New Roman" w:hAnsi="Times New Roman" w:cs="Times New Roman"/>
          <w:sz w:val="24"/>
          <w:szCs w:val="24"/>
        </w:rPr>
        <w:t>(pvz., 38 str. energijos vartojimo efektyvumui ir 41 str. atsinaujinantiems energijos šaltiniams), taip pat užtikrinti, kad bendras valstybės pagalbos intensyvumas (MF ir kiti instrumentai) neviršytų leidžiamų ribų. Nacionalinėje atrankoje tai realizuojama reikalaujant, kad pareiškėjai pateiktų tinkamumo ir intensyvumo skaičiavimus, papildomas išlaidas ir projekto veiklas. Be to, EIB akcentuoja ŠESD metodikos skaidrumą, naudos gavėjų apibrėžimą ir kaštų–intensyvumo suderinamumą – šie aspektai perkeliami į atrankos formą, kad oficialios paraiškos etape EIB nesiūlytų esminių korekcijų.</w:t>
      </w:r>
    </w:p>
    <w:p w14:paraId="0000001F"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79BBC650" w14:textId="4751240C" w:rsidR="007F7ADD" w:rsidRDefault="007F7ADD" w:rsidP="007F7ADD">
      <w:pPr>
        <w:spacing w:after="0" w:line="240" w:lineRule="auto"/>
        <w:ind w:firstLine="851"/>
        <w:jc w:val="both"/>
        <w:rPr>
          <w:rFonts w:ascii="Times New Roman" w:eastAsia="Times New Roman" w:hAnsi="Times New Roman" w:cs="Times New Roman"/>
          <w:sz w:val="24"/>
          <w:szCs w:val="24"/>
        </w:rPr>
      </w:pPr>
      <w:proofErr w:type="spellStart"/>
      <w:r w:rsidRPr="007F7ADD">
        <w:rPr>
          <w:rFonts w:ascii="Times New Roman" w:eastAsia="Times New Roman" w:hAnsi="Times New Roman" w:cs="Times New Roman"/>
          <w:sz w:val="24"/>
          <w:szCs w:val="24"/>
        </w:rPr>
        <w:lastRenderedPageBreak/>
        <w:t>Appendix</w:t>
      </w:r>
      <w:proofErr w:type="spellEnd"/>
      <w:r w:rsidRPr="007F7ADD">
        <w:rPr>
          <w:rFonts w:ascii="Times New Roman" w:eastAsia="Times New Roman" w:hAnsi="Times New Roman" w:cs="Times New Roman"/>
          <w:sz w:val="24"/>
          <w:szCs w:val="24"/>
        </w:rPr>
        <w:t xml:space="preserve"> 4 forma numato, kad projekto aprašyme turi būti pateikti aiškūs techniniai rodikliai, įgyvendinimo grafikas, kaštų detalizavimas su kainomis ir finansavimo planas. Šie reikalavimai nacionalinėje atrankoje perkeliami į paraiškos turinį taip, kad būtų galima lyginti alternatyvas pagal vienodus rodiklius ir parengti Projekto MF formą.</w:t>
      </w:r>
    </w:p>
    <w:p w14:paraId="00000021" w14:textId="572356A3" w:rsidR="005860A9" w:rsidRPr="007F7ADD" w:rsidRDefault="005860A9" w:rsidP="007F7ADD">
      <w:pPr>
        <w:spacing w:after="0" w:line="240" w:lineRule="auto"/>
        <w:ind w:firstLine="851"/>
        <w:jc w:val="both"/>
        <w:rPr>
          <w:rFonts w:ascii="Times New Roman" w:eastAsia="Times New Roman" w:hAnsi="Times New Roman" w:cs="Times New Roman"/>
          <w:sz w:val="24"/>
          <w:szCs w:val="24"/>
          <w:shd w:val="clear" w:color="auto" w:fill="999999"/>
        </w:rPr>
      </w:pPr>
    </w:p>
    <w:p w14:paraId="00000022"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Atsižvelgiant į Konkurencijos tarybos Gaires, ši nacionalinė Projekto atranka nekuria išimtinių ar specialių teisių atskiram ūkio subjektui, nes atranka yra atvira visoms LEZ valdymo bendrovėms </w:t>
      </w:r>
      <w:sdt>
        <w:sdtPr>
          <w:tag w:val="goog_rdk_14"/>
          <w:id w:val="589497557"/>
        </w:sdtPr>
        <w:sdtContent/>
      </w:sdt>
      <w:sdt>
        <w:sdtPr>
          <w:tag w:val="goog_rdk_15"/>
          <w:id w:val="1019169232"/>
        </w:sdtPr>
        <w:sdtContent/>
      </w:sdt>
      <w:r>
        <w:rPr>
          <w:rFonts w:ascii="Times New Roman" w:eastAsia="Times New Roman" w:hAnsi="Times New Roman" w:cs="Times New Roman"/>
          <w:sz w:val="24"/>
          <w:szCs w:val="24"/>
        </w:rPr>
        <w:t>ir pramonės parkų operatoriams iš baigtinio sąrašo, o laimėtojas nustatomas objektyvia, iš anksto paskelbta metodika. Tai reiškia, kad nėra tiesioginio įėjimo ribojimo, nėra ūkio subjektų skaičiaus fiksavimo be konkurencijos procedūros, nėra geografinių ar kitų diskriminacinių apribojimų, o prašomi dokumentai ir skaičiavimai yra proporcingi MF paraiškos turinio poreikiui. Nacionalinės atrankos taisyklės nesudaro prielaidų „tyliajam suokalbiui“ ar kainų derinimui, nes nėra skelbiama konkurencijai jautri kainodaros informacija tarp dalyvių, bet priešingai – skaidrumas taikomas vertinimo kriterijams ir turinio reikalavimams, o ne komercinėms paslaptims.</w:t>
      </w:r>
    </w:p>
    <w:p w14:paraId="00000023"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24"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Netiesioginių įėjimo barjerų rizika valdoma proporcingai: reikalaujama tiek informacijos, kiek būtina MF formai užpildyti ir EIB vertinimui atlikti, bet nėra keliami nereikalingi kvalifikaciniai filtrai (pvz., pertekliniai licencijavimo ar kapitalo reikalavimai), todėl dalyvauti gali visi tinkamumo kriterijus atitinkantys subjektai. Tokiu būdu Konkurencijos įstatymo 4 ir 4(1) str. principai įgyvendinami.</w:t>
      </w:r>
    </w:p>
    <w:p w14:paraId="00000025" w14:textId="77777777" w:rsidR="005860A9" w:rsidRDefault="005860A9" w:rsidP="007F7ADD">
      <w:pPr>
        <w:spacing w:after="0" w:line="240" w:lineRule="auto"/>
        <w:ind w:firstLine="851"/>
        <w:jc w:val="both"/>
        <w:rPr>
          <w:rFonts w:ascii="Times New Roman" w:eastAsia="Times New Roman" w:hAnsi="Times New Roman" w:cs="Times New Roman"/>
          <w:sz w:val="24"/>
          <w:szCs w:val="24"/>
        </w:rPr>
      </w:pPr>
    </w:p>
    <w:p w14:paraId="00000026" w14:textId="77777777" w:rsidR="005860A9" w:rsidRDefault="003407AF" w:rsidP="007F7AD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Aprašyta nacionalinė atranka ir jos kriterijų sistema yra teisėta, proporcinga ir konkurenciją užtikrinanti priemonė, leidžianti objektyviai identifikuoti vieną geriausią projektą MF teikimui, nekeliant nepagrįstų įėjimo kliūčių ir nesuteikiant privilegijų atskiriems subjektams. Ji tiesiogiai atitinka MF prioritetų turinį, </w:t>
      </w:r>
      <w:proofErr w:type="spellStart"/>
      <w:r>
        <w:rPr>
          <w:rFonts w:ascii="Times New Roman" w:eastAsia="Times New Roman" w:hAnsi="Times New Roman" w:cs="Times New Roman"/>
          <w:sz w:val="24"/>
          <w:szCs w:val="24"/>
        </w:rPr>
        <w:t>Appendix</w:t>
      </w:r>
      <w:proofErr w:type="spellEnd"/>
      <w:r>
        <w:rPr>
          <w:rFonts w:ascii="Times New Roman" w:eastAsia="Times New Roman" w:hAnsi="Times New Roman" w:cs="Times New Roman"/>
          <w:sz w:val="24"/>
          <w:szCs w:val="24"/>
        </w:rPr>
        <w:t xml:space="preserve"> 4 formos duomenis ir EIB vertinimo akcentus, o pagal Konkurencijos tarybos Gaires nekuria nei tiesioginių, nei netiesioginių konkurencijos ribojimų, nes reglamentavimas yra </w:t>
      </w:r>
      <w:proofErr w:type="spellStart"/>
      <w:r>
        <w:rPr>
          <w:rFonts w:ascii="Times New Roman" w:eastAsia="Times New Roman" w:hAnsi="Times New Roman" w:cs="Times New Roman"/>
          <w:i/>
          <w:iCs/>
          <w:sz w:val="24"/>
          <w:szCs w:val="24"/>
        </w:rPr>
        <w:t>ex</w:t>
      </w:r>
      <w:proofErr w:type="spellEnd"/>
      <w:r>
        <w:rPr>
          <w:rFonts w:ascii="Times New Roman" w:eastAsia="Times New Roman" w:hAnsi="Times New Roman" w:cs="Times New Roman"/>
          <w:i/>
          <w:iCs/>
          <w:sz w:val="24"/>
          <w:szCs w:val="24"/>
        </w:rPr>
        <w:t xml:space="preserve"> ante</w:t>
      </w:r>
      <w:r>
        <w:rPr>
          <w:rFonts w:ascii="Times New Roman" w:eastAsia="Times New Roman" w:hAnsi="Times New Roman" w:cs="Times New Roman"/>
          <w:sz w:val="24"/>
          <w:szCs w:val="24"/>
        </w:rPr>
        <w:t xml:space="preserve"> skaidrus, taikomas vienodai visiems iš baigtinio LEZ ir pramonės parkų sąrašo, o atrankos rezultatas grindžiamas matuojama nauda ir kaštų efektyvumu.</w:t>
      </w:r>
    </w:p>
    <w:p w14:paraId="31DA4D9F" w14:textId="77777777" w:rsidR="002E0032" w:rsidRDefault="002E0032" w:rsidP="007F7ADD">
      <w:pPr>
        <w:spacing w:after="0" w:line="240" w:lineRule="auto"/>
        <w:ind w:firstLine="851"/>
        <w:jc w:val="both"/>
        <w:rPr>
          <w:rFonts w:ascii="Times New Roman" w:eastAsia="Times New Roman" w:hAnsi="Times New Roman" w:cs="Times New Roman"/>
          <w:sz w:val="24"/>
          <w:szCs w:val="24"/>
        </w:rPr>
      </w:pPr>
    </w:p>
    <w:p w14:paraId="272B643F" w14:textId="15FC7D5D" w:rsidR="002E0032" w:rsidRDefault="00CC3B2F" w:rsidP="007F7ADD">
      <w:pPr>
        <w:spacing w:after="0" w:line="240" w:lineRule="auto"/>
        <w:ind w:firstLine="851"/>
        <w:jc w:val="both"/>
        <w:rPr>
          <w:rFonts w:ascii="Times New Roman" w:eastAsia="Times New Roman" w:hAnsi="Times New Roman" w:cs="Times New Roman"/>
          <w:sz w:val="24"/>
          <w:szCs w:val="24"/>
        </w:rPr>
      </w:pPr>
      <w:r w:rsidRPr="00CC3B2F">
        <w:rPr>
          <w:rFonts w:ascii="Times New Roman" w:eastAsia="Times New Roman" w:hAnsi="Times New Roman" w:cs="Times New Roman"/>
          <w:sz w:val="24"/>
          <w:szCs w:val="24"/>
        </w:rPr>
        <w:t xml:space="preserve">Daugiau informacijos apie kvietimą dalyvauti atrankoje skelbiama </w:t>
      </w:r>
      <w:hyperlink r:id="rId8" w:history="1">
        <w:r w:rsidR="00DF463A" w:rsidRPr="00DF463A">
          <w:rPr>
            <w:rStyle w:val="Hyperlink"/>
            <w:rFonts w:ascii="Times New Roman" w:eastAsia="Times New Roman" w:hAnsi="Times New Roman" w:cs="Times New Roman"/>
            <w:sz w:val="24"/>
            <w:szCs w:val="24"/>
          </w:rPr>
          <w:t>Inovacijų agentūr</w:t>
        </w:r>
        <w:r>
          <w:rPr>
            <w:rStyle w:val="Hyperlink"/>
            <w:rFonts w:ascii="Times New Roman" w:eastAsia="Times New Roman" w:hAnsi="Times New Roman" w:cs="Times New Roman"/>
            <w:sz w:val="24"/>
            <w:szCs w:val="24"/>
          </w:rPr>
          <w:t>os</w:t>
        </w:r>
      </w:hyperlink>
      <w:r>
        <w:rPr>
          <w:rFonts w:ascii="Times New Roman" w:eastAsia="Times New Roman" w:hAnsi="Times New Roman" w:cs="Times New Roman"/>
          <w:sz w:val="24"/>
          <w:szCs w:val="24"/>
        </w:rPr>
        <w:t xml:space="preserve"> svetainėje.</w:t>
      </w:r>
    </w:p>
    <w:sectPr w:rsidR="002E0032" w:rsidSect="00EE02EB">
      <w:pgSz w:w="12240" w:h="15840"/>
      <w:pgMar w:top="1440" w:right="758" w:bottom="1440" w:left="1800"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82336" w14:textId="77777777" w:rsidR="00226833" w:rsidRDefault="00226833">
      <w:pPr>
        <w:spacing w:after="0" w:line="240" w:lineRule="auto"/>
      </w:pPr>
      <w:r>
        <w:separator/>
      </w:r>
    </w:p>
  </w:endnote>
  <w:endnote w:type="continuationSeparator" w:id="0">
    <w:p w14:paraId="5CA126FA" w14:textId="77777777" w:rsidR="00226833" w:rsidRDefault="00226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22B5F622-B656-4C87-A5E3-91BDCC43C9B4}"/>
    <w:embedBold r:id="rId2" w:fontKey="{020ED4D1-EA86-47BE-9A7E-CC31D0CA6CFF}"/>
    <w:embedItalic r:id="rId3" w:fontKey="{D671BFE5-6483-4B7D-B3E9-73B9266EE0E9}"/>
    <w:embedBoldItalic r:id="rId4" w:fontKey="{E5774AE0-6138-4425-9BBD-D7DA49881467}"/>
  </w:font>
  <w:font w:name="Courier">
    <w:panose1 w:val="02070309020205020404"/>
    <w:charset w:val="00"/>
    <w:family w:val="modern"/>
    <w:pitch w:val="fixed"/>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embedRegular r:id="rId5" w:fontKey="{6F364EA4-9518-48EF-9741-2A27D5B0FF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ED316" w14:textId="77777777" w:rsidR="00226833" w:rsidRDefault="00226833">
      <w:pPr>
        <w:spacing w:after="0" w:line="240" w:lineRule="auto"/>
      </w:pPr>
      <w:r>
        <w:separator/>
      </w:r>
    </w:p>
  </w:footnote>
  <w:footnote w:type="continuationSeparator" w:id="0">
    <w:p w14:paraId="3EFA0387" w14:textId="77777777" w:rsidR="00226833" w:rsidRDefault="00226833">
      <w:pPr>
        <w:spacing w:after="0" w:line="240" w:lineRule="auto"/>
      </w:pPr>
      <w:r>
        <w:continuationSeparator/>
      </w:r>
    </w:p>
  </w:footnote>
  <w:footnote w:id="1">
    <w:p w14:paraId="00000029" w14:textId="77777777" w:rsidR="005860A9" w:rsidRDefault="003407A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https://eimin.lrv.lt/lt/veiklos-sritys/investiciju-veiklos-sritis/pramoniniai-parkai-lez/apie-pramoninius-parkus-ir-lez/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460EC"/>
    <w:multiLevelType w:val="multilevel"/>
    <w:tmpl w:val="28FEF17C"/>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0F5C66"/>
    <w:multiLevelType w:val="multilevel"/>
    <w:tmpl w:val="0E6E08E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5317981">
    <w:abstractNumId w:val="0"/>
  </w:num>
  <w:num w:numId="2" w16cid:durableId="973827634">
    <w:abstractNumId w:val="1"/>
  </w:num>
  <w:num w:numId="3" w16cid:durableId="1216165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78065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81911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35553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0A9"/>
    <w:rsid w:val="00226833"/>
    <w:rsid w:val="002E0032"/>
    <w:rsid w:val="003407AF"/>
    <w:rsid w:val="00406A04"/>
    <w:rsid w:val="005860A9"/>
    <w:rsid w:val="0069699F"/>
    <w:rsid w:val="007F7ADD"/>
    <w:rsid w:val="0084130A"/>
    <w:rsid w:val="00940576"/>
    <w:rsid w:val="00CC3B2F"/>
    <w:rsid w:val="00CE15D2"/>
    <w:rsid w:val="00DF463A"/>
    <w:rsid w:val="00E619ED"/>
    <w:rsid w:val="00EE02EB"/>
    <w:rsid w:val="00F4090D"/>
    <w:rsid w:val="00F924D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6F5F9"/>
  <w15:docId w15:val="{16A2CF1A-0775-4012-9232-BD37EEE7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b/>
      <w:bCs/>
      <w:color w:val="4F81BD"/>
    </w:rPr>
  </w:style>
  <w:style w:type="paragraph" w:styleId="Heading4">
    <w:name w:val="heading 4"/>
    <w:basedOn w:val="Normal"/>
    <w:next w:val="Normal"/>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color w:val="243F61"/>
    </w:rPr>
  </w:style>
  <w:style w:type="paragraph" w:styleId="Heading6">
    <w:name w:val="heading 6"/>
    <w:basedOn w:val="Normal"/>
    <w:next w:val="Normal"/>
    <w:uiPriority w:val="9"/>
    <w:semiHidden/>
    <w:unhideWhenUsed/>
    <w:qFormat/>
    <w:pPr>
      <w:keepNext/>
      <w:keepLines/>
      <w:spacing w:before="200" w:after="0"/>
      <w:outlineLvl w:val="5"/>
    </w:pPr>
    <w:rPr>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Antrat1Diagrama">
    <w:name w:val="Antraštė 1 Diagrama"/>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DefaultParagraphFont"/>
    <w:uiPriority w:val="9"/>
    <w:rsid w:val="00FC693F"/>
    <w:rPr>
      <w:rFonts w:asciiTheme="majorHAnsi" w:eastAsiaTheme="majorEastAsia" w:hAnsiTheme="majorHAnsi" w:cstheme="majorBidi"/>
      <w:b/>
      <w:bCs/>
      <w:color w:val="4F81BD" w:themeColor="accent1"/>
    </w:rPr>
  </w:style>
  <w:style w:type="character" w:customStyle="1" w:styleId="PavadinimasDiagrama">
    <w:name w:val="Pavadinimas Diagrama"/>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PaantratDiagrama">
    <w:name w:val="Paantraštė Diagrama"/>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numPr>
        <w:numId w:val="2"/>
      </w:numPr>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Antrat4Diagrama">
    <w:name w:val="Antraštė 4 Diagrama"/>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Antrat5Diagrama">
    <w:name w:val="Antraštė 5 Diagrama"/>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Antrat6Diagrama">
    <w:name w:val="Antraštė 6 Diagrama"/>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link w:val="FootnoteTextChar"/>
    <w:uiPriority w:val="99"/>
    <w:semiHidden/>
    <w:unhideWhenUsed/>
    <w:rsid w:val="00E646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4692"/>
    <w:rPr>
      <w:rFonts w:ascii="Calibri" w:hAnsi="Calibri"/>
      <w:sz w:val="20"/>
      <w:szCs w:val="20"/>
    </w:rPr>
  </w:style>
  <w:style w:type="character" w:styleId="FootnoteReference">
    <w:name w:val="footnote reference"/>
    <w:basedOn w:val="DefaultParagraphFont"/>
    <w:uiPriority w:val="99"/>
    <w:semiHidden/>
    <w:unhideWhenUsed/>
    <w:rsid w:val="00E64692"/>
    <w:rPr>
      <w:vertAlign w:val="superscript"/>
    </w:rPr>
  </w:style>
  <w:style w:type="paragraph" w:styleId="Subtitle">
    <w:name w:val="Subtitle"/>
    <w:basedOn w:val="Normal"/>
    <w:next w:val="Normal"/>
    <w:uiPriority w:val="11"/>
    <w:qFormat/>
    <w:rPr>
      <w:i/>
      <w:iCs/>
      <w:color w:val="4F81BD"/>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F463A"/>
    <w:rPr>
      <w:color w:val="0000FF" w:themeColor="hyperlink"/>
      <w:u w:val="single"/>
    </w:rPr>
  </w:style>
  <w:style w:type="character" w:styleId="UnresolvedMention">
    <w:name w:val="Unresolved Mention"/>
    <w:basedOn w:val="DefaultParagraphFont"/>
    <w:uiPriority w:val="99"/>
    <w:semiHidden/>
    <w:unhideWhenUsed/>
    <w:rsid w:val="00DF4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ovacijuagentura.lt/finansavimo-kvietimai/zaliojo-pramones-parko-atranka.html?lang=l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q5kgFCK7u4fNIWeClTLgnR4tKQ==">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bce49ad-6e13-4667-9698-89b6274ba9f6}" enabled="0" method="" siteId="{7bce49ad-6e13-4667-9698-89b6274ba9f6}"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5512</Words>
  <Characters>3142</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Ruzgys Karolis</cp:lastModifiedBy>
  <cp:revision>4</cp:revision>
  <dcterms:created xsi:type="dcterms:W3CDTF">2025-12-29T09:25:00Z</dcterms:created>
  <dcterms:modified xsi:type="dcterms:W3CDTF">2025-12-29T12:41:00Z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0x010100D9A7F16E3557754597ADF6E4F37FD247</vt:lpwstr>
  </property>
  <property fmtid="{D5CDD505-2E9C-101B-9397-08002B2CF9AE}" pid="3" name="MediaServiceImageTags">
    <vt:lpwstr/>
  </property>
</Properties>
</file>