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007C2D44" w:rsidR="0036662A" w:rsidRPr="00017566" w:rsidRDefault="0036662A" w:rsidP="00DD3616">
      <w:pPr>
        <w:jc w:val="center"/>
        <w:rPr>
          <w:b/>
          <w:bCs/>
        </w:rPr>
      </w:pPr>
      <w:r w:rsidRPr="00017566">
        <w:rPr>
          <w:b/>
          <w:bCs/>
        </w:rPr>
        <w:t xml:space="preserve">SOCIALINIŲ IR EKONOMINIŲ PARTNERIŲ PATEIKTŲ PASTABŲ IR PASIŪLYMŲ DĖL </w:t>
      </w:r>
      <w:r w:rsidR="00BF5514" w:rsidRPr="006A24D6">
        <w:rPr>
          <w:b/>
          <w:caps/>
          <w:szCs w:val="24"/>
        </w:rPr>
        <w:t>2022–2030 METŲ EKONOMIKOS TRANSFORMACIJOS IR KONKURENCINGUMO PLĖTROS PROGRAMOS PAŽANGOS PRIEMONĖS NR. 05-001-01-05-05 „SKATINTI ĮMONES SKAITMENIZUOTIS“</w:t>
      </w:r>
      <w:r w:rsidR="00BF5514">
        <w:rPr>
          <w:b/>
          <w:caps/>
          <w:szCs w:val="24"/>
        </w:rPr>
        <w:t xml:space="preserve"> veiklos </w:t>
      </w:r>
      <w:bookmarkStart w:id="0" w:name="_Hlk218757530"/>
      <w:r w:rsidR="002937CB" w:rsidRPr="002937CB">
        <w:rPr>
          <w:b/>
          <w:bCs/>
        </w:rPr>
        <w:t>„SKATINTI LABAI MAŽAS, MAŽAS IR VIDUTINES ĮMONES (TOLIAU – MVĮ) DIEGTIS SKAITMENINES TECHNOLOGIJAS, PRIORITETĄ TEIKIANT DIRBTINIO INTELEKTO (TOLIAU – DI) SPRENDIMAMS“ POVEIKLĖS „SKATINTI MVĮ DIEGTIS SKAITMENINES TECHNOLOGIJAS, PRIORITETĄ TEIKIANT DI SPRENDIMAMS“ (SOSTINĖS REGIONE) IR POVEIKLĖS „SKATINTI MVĮ DIEGTIS SKAITMENINES TECHNOLOGIJAS, PRIORITETĄ TEIKIANT DI SPRENDIMAMS“ (VIDURIO IR VAKARŲ LIETUVOS REGIONE)</w:t>
      </w:r>
      <w:r w:rsidR="002937CB" w:rsidRPr="009E70E3">
        <w:rPr>
          <w:i/>
          <w:iCs/>
          <w:szCs w:val="24"/>
        </w:rPr>
        <w:t xml:space="preserve"> </w:t>
      </w:r>
      <w:bookmarkEnd w:id="0"/>
      <w:r w:rsidR="00BF5514">
        <w:rPr>
          <w:b/>
          <w:bCs/>
          <w:szCs w:val="24"/>
        </w:rPr>
        <w:t>PROJEKTŲ FINANSAVIMO SĄLYGŲ</w:t>
      </w:r>
      <w:r w:rsidR="00053ACF">
        <w:rPr>
          <w:szCs w:val="24"/>
        </w:rPr>
        <w:t xml:space="preserve"> </w:t>
      </w:r>
      <w:r w:rsidR="00BF5514">
        <w:rPr>
          <w:b/>
          <w:bCs/>
          <w:caps/>
        </w:rPr>
        <w:t>aprašo projekto</w:t>
      </w:r>
      <w:r w:rsidR="00A323E0" w:rsidRPr="00DD3616">
        <w:rPr>
          <w:b/>
          <w:bCs/>
          <w:caps/>
        </w:rPr>
        <w:t xml:space="preserve"> 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947246" w14:paraId="186CD4CE" w14:textId="77777777" w:rsidTr="00335D39">
        <w:tc>
          <w:tcPr>
            <w:tcW w:w="6804" w:type="dxa"/>
          </w:tcPr>
          <w:p w14:paraId="5ABD71ED" w14:textId="53972006" w:rsidR="0036662A" w:rsidRPr="00947246" w:rsidRDefault="0036662A" w:rsidP="00335D39">
            <w:pPr>
              <w:rPr>
                <w:b/>
                <w:szCs w:val="24"/>
              </w:rPr>
            </w:pPr>
            <w:r w:rsidRPr="00947246">
              <w:rPr>
                <w:b/>
                <w:szCs w:val="24"/>
              </w:rPr>
              <w:t xml:space="preserve">Paskelbimo </w:t>
            </w:r>
            <w:r w:rsidRPr="00947246">
              <w:rPr>
                <w:szCs w:val="24"/>
              </w:rPr>
              <w:t>www.</w:t>
            </w:r>
            <w:r w:rsidR="005B09A6" w:rsidRPr="00947246">
              <w:rPr>
                <w:szCs w:val="24"/>
              </w:rPr>
              <w:t xml:space="preserve"> 2021.esinvesticijos.lt </w:t>
            </w:r>
            <w:r w:rsidRPr="00947246">
              <w:rPr>
                <w:b/>
                <w:szCs w:val="24"/>
              </w:rPr>
              <w:t>data</w:t>
            </w:r>
          </w:p>
        </w:tc>
        <w:tc>
          <w:tcPr>
            <w:tcW w:w="7938" w:type="dxa"/>
          </w:tcPr>
          <w:p w14:paraId="30C88A42" w14:textId="6745E101" w:rsidR="0036662A" w:rsidRPr="00947246" w:rsidRDefault="00F65129" w:rsidP="00335D39">
            <w:pPr>
              <w:rPr>
                <w:szCs w:val="24"/>
              </w:rPr>
            </w:pPr>
            <w:r w:rsidRPr="00947246">
              <w:rPr>
                <w:szCs w:val="24"/>
              </w:rPr>
              <w:t>202</w:t>
            </w:r>
            <w:r w:rsidR="002937CB">
              <w:rPr>
                <w:szCs w:val="24"/>
              </w:rPr>
              <w:t>5</w:t>
            </w:r>
            <w:r w:rsidRPr="00947246">
              <w:rPr>
                <w:szCs w:val="24"/>
              </w:rPr>
              <w:t>-</w:t>
            </w:r>
            <w:r w:rsidR="002937CB">
              <w:rPr>
                <w:szCs w:val="24"/>
              </w:rPr>
              <w:t>12</w:t>
            </w:r>
            <w:r w:rsidRPr="00947246">
              <w:rPr>
                <w:szCs w:val="24"/>
              </w:rPr>
              <w:t>-</w:t>
            </w:r>
            <w:r w:rsidR="002937CB">
              <w:rPr>
                <w:szCs w:val="24"/>
              </w:rPr>
              <w:t>18</w:t>
            </w:r>
          </w:p>
        </w:tc>
      </w:tr>
      <w:tr w:rsidR="0036662A" w:rsidRPr="00947246" w14:paraId="0B887416" w14:textId="77777777" w:rsidTr="00335D39">
        <w:tc>
          <w:tcPr>
            <w:tcW w:w="6804" w:type="dxa"/>
          </w:tcPr>
          <w:p w14:paraId="222C999C" w14:textId="77777777" w:rsidR="0036662A" w:rsidRPr="00947246" w:rsidRDefault="0036662A" w:rsidP="00335D39">
            <w:pPr>
              <w:rPr>
                <w:b/>
                <w:szCs w:val="24"/>
              </w:rPr>
            </w:pPr>
            <w:r w:rsidRPr="00947246">
              <w:rPr>
                <w:b/>
                <w:szCs w:val="24"/>
              </w:rPr>
              <w:t>Ar gauta pastabų ir (ar) pasiūlymų?</w:t>
            </w:r>
          </w:p>
          <w:p w14:paraId="240DC70C" w14:textId="77777777" w:rsidR="0036662A" w:rsidRPr="00947246" w:rsidRDefault="0036662A" w:rsidP="0036662A">
            <w:pPr>
              <w:rPr>
                <w:i/>
                <w:szCs w:val="24"/>
              </w:rPr>
            </w:pPr>
            <w:r w:rsidRPr="00947246">
              <w:rPr>
                <w:i/>
                <w:szCs w:val="24"/>
              </w:rPr>
              <w:t>Jei pastabų ir pasiūlymų nebuvo gauta, į kitą klausimą neatsakoma ir žemiau esanti lentelė nepildoma</w:t>
            </w:r>
          </w:p>
        </w:tc>
        <w:tc>
          <w:tcPr>
            <w:tcW w:w="7938" w:type="dxa"/>
          </w:tcPr>
          <w:p w14:paraId="3F99D4E0" w14:textId="1854E876" w:rsidR="0036662A" w:rsidRPr="00947246" w:rsidRDefault="005B09A6" w:rsidP="0070221E">
            <w:pPr>
              <w:rPr>
                <w:szCs w:val="24"/>
              </w:rPr>
            </w:pPr>
            <w:r w:rsidRPr="00947246">
              <w:rPr>
                <w:szCs w:val="24"/>
              </w:rPr>
              <w:fldChar w:fldCharType="begin">
                <w:ffData>
                  <w:name w:val="Check1"/>
                  <w:enabled/>
                  <w:calcOnExit w:val="0"/>
                  <w:checkBox>
                    <w:sizeAuto/>
                    <w:default w:val="1"/>
                  </w:checkBox>
                </w:ffData>
              </w:fldChar>
            </w:r>
            <w:bookmarkStart w:id="1" w:name="Check1"/>
            <w:r w:rsidRPr="00947246">
              <w:rPr>
                <w:szCs w:val="24"/>
              </w:rPr>
              <w:instrText xml:space="preserve"> FORMCHECKBOX </w:instrText>
            </w:r>
            <w:r w:rsidRPr="00947246">
              <w:rPr>
                <w:szCs w:val="24"/>
              </w:rPr>
            </w:r>
            <w:r w:rsidRPr="00947246">
              <w:rPr>
                <w:szCs w:val="24"/>
              </w:rPr>
              <w:fldChar w:fldCharType="separate"/>
            </w:r>
            <w:r w:rsidRPr="00947246">
              <w:rPr>
                <w:szCs w:val="24"/>
              </w:rPr>
              <w:fldChar w:fldCharType="end"/>
            </w:r>
            <w:bookmarkEnd w:id="1"/>
            <w:r w:rsidR="0036662A" w:rsidRPr="00947246">
              <w:rPr>
                <w:szCs w:val="24"/>
              </w:rPr>
              <w:t xml:space="preserve"> Taip </w:t>
            </w:r>
            <w:sdt>
              <w:sdtPr>
                <w:rPr>
                  <w:szCs w:val="24"/>
                </w:rPr>
                <w:id w:val="164368749"/>
              </w:sdtPr>
              <w:sdtEndPr/>
              <w:sdtContent>
                <w:r w:rsidRPr="00947246">
                  <w:rPr>
                    <w:b/>
                    <w:szCs w:val="24"/>
                  </w:rPr>
                  <w:fldChar w:fldCharType="begin">
                    <w:ffData>
                      <w:name w:val=""/>
                      <w:enabled/>
                      <w:calcOnExit w:val="0"/>
                      <w:checkBox>
                        <w:sizeAuto/>
                        <w:default w:val="0"/>
                      </w:checkBox>
                    </w:ffData>
                  </w:fldChar>
                </w:r>
                <w:r w:rsidRPr="00947246">
                  <w:rPr>
                    <w:b/>
                    <w:szCs w:val="24"/>
                  </w:rPr>
                  <w:instrText xml:space="preserve"> FORMCHECKBOX </w:instrText>
                </w:r>
                <w:r w:rsidRPr="00947246">
                  <w:rPr>
                    <w:b/>
                    <w:szCs w:val="24"/>
                  </w:rPr>
                </w:r>
                <w:r w:rsidRPr="00947246">
                  <w:rPr>
                    <w:b/>
                    <w:szCs w:val="24"/>
                  </w:rPr>
                  <w:fldChar w:fldCharType="separate"/>
                </w:r>
                <w:r w:rsidRPr="00947246">
                  <w:rPr>
                    <w:b/>
                    <w:szCs w:val="24"/>
                  </w:rPr>
                  <w:fldChar w:fldCharType="end"/>
                </w:r>
              </w:sdtContent>
            </w:sdt>
            <w:r w:rsidR="0036662A" w:rsidRPr="00947246">
              <w:rPr>
                <w:szCs w:val="24"/>
              </w:rPr>
              <w:t xml:space="preserve"> Ne</w:t>
            </w:r>
            <w:r w:rsidR="0036662A" w:rsidRPr="00947246">
              <w:rPr>
                <w:szCs w:val="24"/>
              </w:rPr>
              <w:fldChar w:fldCharType="begin"/>
            </w:r>
            <w:r w:rsidR="0036662A" w:rsidRPr="00947246">
              <w:rPr>
                <w:szCs w:val="24"/>
              </w:rPr>
              <w:instrText xml:space="preserve"> FILLIN   \* MERGEFORMAT </w:instrText>
            </w:r>
            <w:r w:rsidR="0036662A" w:rsidRPr="00947246">
              <w:rPr>
                <w:szCs w:val="24"/>
              </w:rPr>
              <w:fldChar w:fldCharType="end"/>
            </w:r>
          </w:p>
        </w:tc>
      </w:tr>
      <w:tr w:rsidR="0036662A" w:rsidRPr="00947246" w14:paraId="48ACEA96" w14:textId="77777777" w:rsidTr="00335D39">
        <w:tc>
          <w:tcPr>
            <w:tcW w:w="6804" w:type="dxa"/>
          </w:tcPr>
          <w:p w14:paraId="0CDA3A40" w14:textId="77777777" w:rsidR="0036662A" w:rsidRPr="00947246" w:rsidRDefault="0036662A" w:rsidP="00335D39">
            <w:pPr>
              <w:rPr>
                <w:b/>
                <w:szCs w:val="24"/>
              </w:rPr>
            </w:pPr>
            <w:r w:rsidRPr="00947246">
              <w:rPr>
                <w:b/>
                <w:szCs w:val="24"/>
              </w:rPr>
              <w:t>Ar į visas pastabas ir (ar) pasiūlymus atsižvelgta?</w:t>
            </w:r>
          </w:p>
          <w:p w14:paraId="2AF95CF4" w14:textId="77777777" w:rsidR="0036662A" w:rsidRPr="00947246" w:rsidRDefault="0036662A" w:rsidP="00335D39">
            <w:pPr>
              <w:rPr>
                <w:i/>
                <w:szCs w:val="24"/>
              </w:rPr>
            </w:pPr>
            <w:r w:rsidRPr="00947246">
              <w:rPr>
                <w:i/>
                <w:szCs w:val="24"/>
              </w:rPr>
              <w:t>Jei atsižvelgta į visas pastabas ir (ar) pasiūlymus, žemiau esanti lentelė nepildoma</w:t>
            </w:r>
          </w:p>
        </w:tc>
        <w:tc>
          <w:tcPr>
            <w:tcW w:w="7938" w:type="dxa"/>
          </w:tcPr>
          <w:p w14:paraId="3B6FBCDB" w14:textId="307BF88D" w:rsidR="0036662A" w:rsidRPr="00947246" w:rsidRDefault="00E132D4" w:rsidP="0070221E">
            <w:pPr>
              <w:rPr>
                <w:szCs w:val="24"/>
              </w:rPr>
            </w:pPr>
            <w:sdt>
              <w:sdtPr>
                <w:rPr>
                  <w:szCs w:val="24"/>
                </w:rPr>
                <w:id w:val="-338542889"/>
              </w:sdtPr>
              <w:sdtEndPr/>
              <w:sdtContent>
                <w:r w:rsidR="00053ACF" w:rsidRPr="00947246">
                  <w:rPr>
                    <w:szCs w:val="24"/>
                  </w:rPr>
                  <w:fldChar w:fldCharType="begin">
                    <w:ffData>
                      <w:name w:val=""/>
                      <w:enabled w:val="0"/>
                      <w:calcOnExit w:val="0"/>
                      <w:checkBox>
                        <w:sizeAuto/>
                        <w:default w:val="0"/>
                      </w:checkBox>
                    </w:ffData>
                  </w:fldChar>
                </w:r>
                <w:r w:rsidR="00053ACF" w:rsidRPr="00947246">
                  <w:rPr>
                    <w:szCs w:val="24"/>
                  </w:rPr>
                  <w:instrText xml:space="preserve"> FORMCHECKBOX </w:instrText>
                </w:r>
                <w:r w:rsidR="00053ACF" w:rsidRPr="00947246">
                  <w:rPr>
                    <w:szCs w:val="24"/>
                  </w:rPr>
                </w:r>
                <w:r w:rsidR="00053ACF" w:rsidRPr="00947246">
                  <w:rPr>
                    <w:szCs w:val="24"/>
                  </w:rPr>
                  <w:fldChar w:fldCharType="separate"/>
                </w:r>
                <w:r w:rsidR="00053ACF" w:rsidRPr="00947246">
                  <w:rPr>
                    <w:szCs w:val="24"/>
                  </w:rPr>
                  <w:fldChar w:fldCharType="end"/>
                </w:r>
              </w:sdtContent>
            </w:sdt>
            <w:r w:rsidR="00015942" w:rsidRPr="00947246">
              <w:rPr>
                <w:szCs w:val="24"/>
              </w:rPr>
              <w:t xml:space="preserve"> </w:t>
            </w:r>
            <w:r w:rsidR="0036662A" w:rsidRPr="00947246">
              <w:rPr>
                <w:szCs w:val="24"/>
              </w:rPr>
              <w:t xml:space="preserve">Taip </w:t>
            </w:r>
            <w:sdt>
              <w:sdtPr>
                <w:rPr>
                  <w:szCs w:val="24"/>
                </w:rPr>
                <w:id w:val="-1548671976"/>
              </w:sdtPr>
              <w:sdtEndPr/>
              <w:sdtContent>
                <w:r w:rsidR="003A2203">
                  <w:rPr>
                    <w:szCs w:val="24"/>
                  </w:rPr>
                  <w:fldChar w:fldCharType="begin">
                    <w:ffData>
                      <w:name w:val=""/>
                      <w:enabled w:val="0"/>
                      <w:calcOnExit w:val="0"/>
                      <w:checkBox>
                        <w:sizeAuto/>
                        <w:default w:val="1"/>
                      </w:checkBox>
                    </w:ffData>
                  </w:fldChar>
                </w:r>
                <w:r w:rsidR="003A2203">
                  <w:rPr>
                    <w:szCs w:val="24"/>
                  </w:rPr>
                  <w:instrText xml:space="preserve"> FORMCHECKBOX </w:instrText>
                </w:r>
                <w:r w:rsidR="003A2203">
                  <w:rPr>
                    <w:szCs w:val="24"/>
                  </w:rPr>
                </w:r>
                <w:r w:rsidR="003A2203">
                  <w:rPr>
                    <w:szCs w:val="24"/>
                  </w:rPr>
                  <w:fldChar w:fldCharType="separate"/>
                </w:r>
                <w:r w:rsidR="003A2203">
                  <w:rPr>
                    <w:szCs w:val="24"/>
                  </w:rPr>
                  <w:fldChar w:fldCharType="end"/>
                </w:r>
              </w:sdtContent>
            </w:sdt>
            <w:r w:rsidR="0036662A" w:rsidRPr="00947246">
              <w:rPr>
                <w:szCs w:val="24"/>
              </w:rPr>
              <w:t xml:space="preserve"> Ne </w:t>
            </w:r>
          </w:p>
        </w:tc>
      </w:tr>
    </w:tbl>
    <w:p w14:paraId="2CB04BD8" w14:textId="77777777" w:rsidR="0036662A" w:rsidRPr="00017566" w:rsidRDefault="0036662A" w:rsidP="0036662A">
      <w:pPr>
        <w:rPr>
          <w:szCs w:val="24"/>
        </w:rPr>
      </w:pPr>
    </w:p>
    <w:tbl>
      <w:tblPr>
        <w:tblStyle w:val="TableGrid"/>
        <w:tblW w:w="14771" w:type="dxa"/>
        <w:tblLayout w:type="fixed"/>
        <w:tblLook w:val="04A0" w:firstRow="1" w:lastRow="0" w:firstColumn="1" w:lastColumn="0" w:noHBand="0" w:noVBand="1"/>
      </w:tblPr>
      <w:tblGrid>
        <w:gridCol w:w="567"/>
        <w:gridCol w:w="1560"/>
        <w:gridCol w:w="7541"/>
        <w:gridCol w:w="5103"/>
      </w:tblGrid>
      <w:tr w:rsidR="0036662A" w:rsidRPr="00DA7383" w14:paraId="6A4E2F17" w14:textId="77777777" w:rsidTr="00B14CA7">
        <w:tc>
          <w:tcPr>
            <w:tcW w:w="567" w:type="dxa"/>
          </w:tcPr>
          <w:p w14:paraId="025A5EA9" w14:textId="77777777" w:rsidR="0036662A" w:rsidRPr="00DA7383" w:rsidRDefault="0036662A" w:rsidP="00020CB7">
            <w:pPr>
              <w:jc w:val="center"/>
              <w:rPr>
                <w:b/>
                <w:szCs w:val="24"/>
              </w:rPr>
            </w:pPr>
            <w:r w:rsidRPr="00DA7383">
              <w:rPr>
                <w:b/>
                <w:szCs w:val="24"/>
              </w:rPr>
              <w:t>Nr.</w:t>
            </w:r>
          </w:p>
        </w:tc>
        <w:tc>
          <w:tcPr>
            <w:tcW w:w="1560" w:type="dxa"/>
          </w:tcPr>
          <w:p w14:paraId="5FEE2DEB" w14:textId="7E1EC09F" w:rsidR="0036662A" w:rsidRPr="00DA7383" w:rsidRDefault="0036662A" w:rsidP="00020CB7">
            <w:pPr>
              <w:jc w:val="center"/>
              <w:rPr>
                <w:b/>
                <w:szCs w:val="24"/>
              </w:rPr>
            </w:pPr>
            <w:r w:rsidRPr="00DA7383">
              <w:rPr>
                <w:b/>
                <w:szCs w:val="24"/>
              </w:rPr>
              <w:t>Institucija</w:t>
            </w:r>
            <w:r w:rsidR="00601513" w:rsidRPr="00DA7383">
              <w:rPr>
                <w:b/>
                <w:szCs w:val="24"/>
              </w:rPr>
              <w:t>, organizacija</w:t>
            </w:r>
          </w:p>
        </w:tc>
        <w:tc>
          <w:tcPr>
            <w:tcW w:w="7541" w:type="dxa"/>
          </w:tcPr>
          <w:p w14:paraId="3B046828" w14:textId="77777777" w:rsidR="0036662A" w:rsidRDefault="0036662A" w:rsidP="00020CB7">
            <w:pPr>
              <w:jc w:val="center"/>
              <w:rPr>
                <w:b/>
                <w:bCs/>
                <w:szCs w:val="24"/>
              </w:rPr>
            </w:pPr>
            <w:r w:rsidRPr="00DA7383">
              <w:rPr>
                <w:b/>
                <w:bCs/>
                <w:szCs w:val="24"/>
              </w:rPr>
              <w:t>Pastabos ir pasiūlymai</w:t>
            </w:r>
          </w:p>
          <w:p w14:paraId="4F6476E0" w14:textId="7F14BC97" w:rsidR="003C3210" w:rsidRPr="00DA7383" w:rsidRDefault="003C3210" w:rsidP="00020CB7">
            <w:pPr>
              <w:jc w:val="center"/>
              <w:rPr>
                <w:b/>
                <w:szCs w:val="24"/>
              </w:rPr>
            </w:pPr>
            <w:r>
              <w:rPr>
                <w:b/>
                <w:bCs/>
                <w:szCs w:val="24"/>
              </w:rPr>
              <w:t xml:space="preserve">(pastabų ir pasiūlymų tekstas nekoreguotas ir lentelėje šiame stulpelyje pateikiamas tekstas yra parengtas </w:t>
            </w:r>
            <w:r w:rsidR="005D2F65">
              <w:rPr>
                <w:b/>
                <w:bCs/>
                <w:szCs w:val="24"/>
              </w:rPr>
              <w:t>pastabų ir pasiūlymų teikėjų)</w:t>
            </w:r>
          </w:p>
        </w:tc>
        <w:tc>
          <w:tcPr>
            <w:tcW w:w="5103" w:type="dxa"/>
          </w:tcPr>
          <w:p w14:paraId="5C314C6F" w14:textId="77777777" w:rsidR="0036662A" w:rsidRPr="00DA7383" w:rsidRDefault="0036662A" w:rsidP="00020CB7">
            <w:pPr>
              <w:jc w:val="center"/>
              <w:rPr>
                <w:b/>
                <w:szCs w:val="24"/>
              </w:rPr>
            </w:pPr>
            <w:r w:rsidRPr="00DA7383">
              <w:rPr>
                <w:b/>
                <w:bCs/>
                <w:szCs w:val="24"/>
              </w:rPr>
              <w:t>Pastabų ir pasiūlymų vertinimas ir (jei taikoma) argumentai, kodėl neatsižvelgta į pastabas ar pasiūlymus</w:t>
            </w:r>
          </w:p>
        </w:tc>
      </w:tr>
      <w:tr w:rsidR="003C3210" w:rsidRPr="00DA7383" w14:paraId="7BC0E9A4" w14:textId="77777777" w:rsidTr="00DA7383">
        <w:trPr>
          <w:trHeight w:val="3100"/>
        </w:trPr>
        <w:tc>
          <w:tcPr>
            <w:tcW w:w="567" w:type="dxa"/>
          </w:tcPr>
          <w:p w14:paraId="1EBD869E" w14:textId="721DDCC6" w:rsidR="003C3210" w:rsidRPr="00DA7383" w:rsidRDefault="003C3210" w:rsidP="00CB2A30">
            <w:pPr>
              <w:jc w:val="both"/>
              <w:rPr>
                <w:bCs/>
                <w:szCs w:val="24"/>
                <w:lang w:val="en-US"/>
              </w:rPr>
            </w:pPr>
            <w:r w:rsidRPr="00DA7383">
              <w:rPr>
                <w:bCs/>
                <w:szCs w:val="24"/>
                <w:lang w:val="en-US"/>
              </w:rPr>
              <w:t>1.</w:t>
            </w:r>
          </w:p>
        </w:tc>
        <w:tc>
          <w:tcPr>
            <w:tcW w:w="1560" w:type="dxa"/>
            <w:vMerge w:val="restart"/>
          </w:tcPr>
          <w:p w14:paraId="67E21624" w14:textId="4EC1DC93" w:rsidR="003C3210" w:rsidRPr="00DA7383" w:rsidRDefault="003C3210" w:rsidP="00CB2A30">
            <w:pPr>
              <w:jc w:val="both"/>
              <w:rPr>
                <w:color w:val="808080"/>
                <w:szCs w:val="24"/>
              </w:rPr>
            </w:pPr>
            <w:r w:rsidRPr="00BB36E6">
              <w:t>UAB „Sintesi consulting“</w:t>
            </w:r>
          </w:p>
        </w:tc>
        <w:tc>
          <w:tcPr>
            <w:tcW w:w="7541" w:type="dxa"/>
          </w:tcPr>
          <w:p w14:paraId="67784C80" w14:textId="3A1C2F32" w:rsidR="003C3210" w:rsidRPr="00443FB5" w:rsidRDefault="003C3210" w:rsidP="00BB36E6">
            <w:pPr>
              <w:jc w:val="both"/>
            </w:pPr>
            <w:r w:rsidRPr="00BB36E6">
              <w:t>Siūlome netinkamomis išlaidų kategorijomis nelaikyti 11.6.2. punkte nurodytų DI platformų prenumeratos/</w:t>
            </w:r>
            <w:proofErr w:type="spellStart"/>
            <w:r w:rsidRPr="00BB36E6">
              <w:t>SaaS</w:t>
            </w:r>
            <w:proofErr w:type="spellEnd"/>
            <w:r w:rsidRPr="00BB36E6">
              <w:t xml:space="preserve"> tipo išlaidų, atsižvelgiant į tai, kad gamybos įmonėms gali būti naudinga pirkti kasmėnesines duomenų analizės paslaugas, pvz.: dirbtinio intelekto algoritmų pagalba analizuojant kas mėnesinius gamybinius duomenis, skirtus operacinio efektyvumo didinimui, </w:t>
            </w:r>
            <w:proofErr w:type="spellStart"/>
            <w:r w:rsidRPr="00BB36E6">
              <w:t>prognozistinių</w:t>
            </w:r>
            <w:proofErr w:type="spellEnd"/>
            <w:r w:rsidRPr="00BB36E6">
              <w:t xml:space="preserve"> gamybinių rodiklių analizei ir pan. įvertinti, dėl to, </w:t>
            </w:r>
            <w:proofErr w:type="spellStart"/>
            <w:r w:rsidRPr="00BB36E6">
              <w:t>SaaS</w:t>
            </w:r>
            <w:proofErr w:type="spellEnd"/>
            <w:r w:rsidRPr="00BB36E6">
              <w:t xml:space="preserve"> ir panašaus tipo išlaidos atneštų teigiamą naudą projekto tikslams. Be to, Aprašo 4.2.1 punktas nurodo, kad projekto įgyvendinimo metu įdiegtas DI produktas/sprendimas gali būti suprantamas kaip prekė ir/arba</w:t>
            </w:r>
            <w:r w:rsidRPr="00BB36E6">
              <w:rPr>
                <w:b/>
                <w:bCs/>
              </w:rPr>
              <w:t> paslauga</w:t>
            </w:r>
            <w:r w:rsidRPr="00BB36E6">
              <w:t>, todėl kyla klausimas, kodėl minimas 11.6.2. punktas eliminuoja platformų prenumeratos ir pan. paslaugų pirkimo išlaidas</w:t>
            </w:r>
          </w:p>
        </w:tc>
        <w:tc>
          <w:tcPr>
            <w:tcW w:w="5103" w:type="dxa"/>
          </w:tcPr>
          <w:p w14:paraId="4887A599" w14:textId="77777777" w:rsidR="003C3210" w:rsidRDefault="009F6324" w:rsidP="00CB2A30">
            <w:pPr>
              <w:jc w:val="both"/>
              <w:rPr>
                <w:szCs w:val="24"/>
              </w:rPr>
            </w:pPr>
            <w:r>
              <w:rPr>
                <w:szCs w:val="24"/>
              </w:rPr>
              <w:t xml:space="preserve">Iš dalies atsižvelgta. </w:t>
            </w:r>
          </w:p>
          <w:p w14:paraId="6F887FA6" w14:textId="77777777" w:rsidR="009F6324" w:rsidRDefault="009F6324" w:rsidP="00CB2A30">
            <w:pPr>
              <w:jc w:val="both"/>
              <w:rPr>
                <w:szCs w:val="24"/>
              </w:rPr>
            </w:pPr>
          </w:p>
          <w:p w14:paraId="10523BB5" w14:textId="41903603" w:rsidR="009F6324" w:rsidRPr="009F6324" w:rsidRDefault="009F6324" w:rsidP="00CB2A30">
            <w:pPr>
              <w:jc w:val="both"/>
              <w:rPr>
                <w:szCs w:val="24"/>
              </w:rPr>
            </w:pPr>
            <w:r>
              <w:rPr>
                <w:szCs w:val="24"/>
              </w:rPr>
              <w:t>Punktas numatytas dėl to, kad projektuose būtų diegiami inovatyvūs, įmonėms pritaikyti sprendimai, kurie nebūtų pagrįsti 100 proc. vien tam tikr</w:t>
            </w:r>
            <w:r w:rsidR="005031C2">
              <w:rPr>
                <w:szCs w:val="24"/>
              </w:rPr>
              <w:t>ų</w:t>
            </w:r>
            <w:r>
              <w:rPr>
                <w:szCs w:val="24"/>
              </w:rPr>
              <w:t xml:space="preserve"> </w:t>
            </w:r>
            <w:r w:rsidR="005031C2">
              <w:rPr>
                <w:szCs w:val="24"/>
              </w:rPr>
              <w:t>s</w:t>
            </w:r>
            <w:r w:rsidR="005031C2" w:rsidRPr="005031C2">
              <w:rPr>
                <w:szCs w:val="24"/>
              </w:rPr>
              <w:t>tandartin</w:t>
            </w:r>
            <w:r w:rsidR="005031C2">
              <w:rPr>
                <w:szCs w:val="24"/>
              </w:rPr>
              <w:t>ių</w:t>
            </w:r>
            <w:r w:rsidR="005031C2" w:rsidRPr="005031C2">
              <w:rPr>
                <w:szCs w:val="24"/>
              </w:rPr>
              <w:t>, neintegruot</w:t>
            </w:r>
            <w:r w:rsidR="005031C2">
              <w:rPr>
                <w:szCs w:val="24"/>
              </w:rPr>
              <w:t>ų</w:t>
            </w:r>
            <w:r w:rsidR="005031C2" w:rsidRPr="005031C2">
              <w:rPr>
                <w:szCs w:val="24"/>
              </w:rPr>
              <w:t xml:space="preserve"> prenumerat</w:t>
            </w:r>
            <w:r w:rsidR="005031C2">
              <w:rPr>
                <w:szCs w:val="24"/>
              </w:rPr>
              <w:t>ų</w:t>
            </w:r>
            <w:r w:rsidR="005031C2" w:rsidRPr="005031C2">
              <w:rPr>
                <w:szCs w:val="24"/>
              </w:rPr>
              <w:t xml:space="preserve"> (tekstų generavimas, bendri asistentai</w:t>
            </w:r>
            <w:r w:rsidR="005031C2">
              <w:rPr>
                <w:szCs w:val="24"/>
              </w:rPr>
              <w:t>)</w:t>
            </w:r>
            <w:r>
              <w:rPr>
                <w:szCs w:val="24"/>
              </w:rPr>
              <w:t xml:space="preserve"> įsigijimu. Taip pat yra labai svarbu, kad įdiegtas sprendimas būtų naudojamas įmonės veikloje ir po projekto</w:t>
            </w:r>
            <w:r w:rsidR="005031C2">
              <w:rPr>
                <w:szCs w:val="24"/>
              </w:rPr>
              <w:t xml:space="preserve"> pabaigos</w:t>
            </w:r>
            <w:r>
              <w:rPr>
                <w:szCs w:val="24"/>
              </w:rPr>
              <w:t xml:space="preserve">, </w:t>
            </w:r>
            <w:r w:rsidR="005031C2">
              <w:rPr>
                <w:szCs w:val="24"/>
              </w:rPr>
              <w:t>kad</w:t>
            </w:r>
            <w:r>
              <w:rPr>
                <w:szCs w:val="24"/>
              </w:rPr>
              <w:t xml:space="preserve"> DI platformų panaudojimo </w:t>
            </w:r>
            <w:r w:rsidRPr="009F6324">
              <w:rPr>
                <w:szCs w:val="24"/>
              </w:rPr>
              <w:t xml:space="preserve">rezultatas </w:t>
            </w:r>
            <w:r w:rsidR="005031C2">
              <w:rPr>
                <w:szCs w:val="24"/>
              </w:rPr>
              <w:t>ne</w:t>
            </w:r>
            <w:r w:rsidRPr="009F6324">
              <w:rPr>
                <w:szCs w:val="24"/>
              </w:rPr>
              <w:t>ding</w:t>
            </w:r>
            <w:r w:rsidR="005031C2">
              <w:rPr>
                <w:szCs w:val="24"/>
              </w:rPr>
              <w:t>tų</w:t>
            </w:r>
            <w:r w:rsidRPr="009F6324">
              <w:rPr>
                <w:szCs w:val="24"/>
              </w:rPr>
              <w:t xml:space="preserve"> nutraukus prenumeratą</w:t>
            </w:r>
            <w:r w:rsidR="005031C2">
              <w:rPr>
                <w:szCs w:val="24"/>
              </w:rPr>
              <w:t xml:space="preserve">, nes </w:t>
            </w:r>
            <w:r w:rsidRPr="009F6324">
              <w:rPr>
                <w:szCs w:val="24"/>
              </w:rPr>
              <w:t>nėra sukuriama išliekamoji vertė/integruota sistema.</w:t>
            </w:r>
          </w:p>
          <w:p w14:paraId="1DFD7BAF" w14:textId="77777777" w:rsidR="009F6324" w:rsidRDefault="009F6324" w:rsidP="00CB2A30">
            <w:pPr>
              <w:jc w:val="both"/>
              <w:rPr>
                <w:szCs w:val="24"/>
              </w:rPr>
            </w:pPr>
            <w:r>
              <w:rPr>
                <w:szCs w:val="24"/>
              </w:rPr>
              <w:lastRenderedPageBreak/>
              <w:t xml:space="preserve">Punktas papildytas: </w:t>
            </w:r>
          </w:p>
          <w:p w14:paraId="0D1BBA26" w14:textId="5565D733" w:rsidR="009F6324" w:rsidRPr="003A2203" w:rsidRDefault="009F6324" w:rsidP="00CB2A30">
            <w:pPr>
              <w:jc w:val="both"/>
              <w:rPr>
                <w:szCs w:val="24"/>
              </w:rPr>
            </w:pPr>
            <w:r w:rsidRPr="009F6324">
              <w:rPr>
                <w:szCs w:val="24"/>
              </w:rPr>
              <w:t xml:space="preserve">11.6.2. naudojimosi bendrojo pobūdžio </w:t>
            </w:r>
            <w:proofErr w:type="spellStart"/>
            <w:r w:rsidRPr="009F6324">
              <w:rPr>
                <w:szCs w:val="24"/>
              </w:rPr>
              <w:t>generatyvinio</w:t>
            </w:r>
            <w:proofErr w:type="spellEnd"/>
            <w:r w:rsidRPr="009F6324">
              <w:rPr>
                <w:szCs w:val="24"/>
              </w:rPr>
              <w:t xml:space="preserve"> dirbtinio intelekto platformomis, įskaitant jų API, prenumeratas, komisinius ar licencijas, nepriklausomai nuo to, ar jos naudojamos tiesiogiai, ar per pareiškėjo, ar trečiųjų šalių tiekėjų sukurtas vartotojo sąsajas ar integracijas (pvz., </w:t>
            </w:r>
            <w:proofErr w:type="spellStart"/>
            <w:r w:rsidRPr="009F6324">
              <w:rPr>
                <w:szCs w:val="24"/>
              </w:rPr>
              <w:t>ChatGPT</w:t>
            </w:r>
            <w:proofErr w:type="spellEnd"/>
            <w:r w:rsidRPr="009F6324">
              <w:rPr>
                <w:szCs w:val="24"/>
              </w:rPr>
              <w:t xml:space="preserve"> ar analogiški didelių kalbos modelių pagrindu veikiantys įrankiai)</w:t>
            </w:r>
            <w:r w:rsidRPr="009F6324">
              <w:rPr>
                <w:b/>
                <w:bCs/>
                <w:szCs w:val="24"/>
              </w:rPr>
              <w:t>, kai šios platformos naudojamos be kertinių funkcionalumo modifikavimų ir (ar) nespecializuojant jau egzistuojančio didžiojo modelio konkrečiam taikymui, siekiant pagerinti jo tikslumą ar efektyvumą</w:t>
            </w:r>
            <w:r w:rsidRPr="009F6324">
              <w:rPr>
                <w:szCs w:val="24"/>
              </w:rPr>
              <w:t>.</w:t>
            </w:r>
          </w:p>
        </w:tc>
      </w:tr>
      <w:tr w:rsidR="003C3210" w:rsidRPr="00DA7383" w14:paraId="2012DD38" w14:textId="77777777" w:rsidTr="00BB36E6">
        <w:trPr>
          <w:trHeight w:val="841"/>
        </w:trPr>
        <w:tc>
          <w:tcPr>
            <w:tcW w:w="567" w:type="dxa"/>
            <w:vMerge w:val="restart"/>
          </w:tcPr>
          <w:p w14:paraId="7ABCAE71" w14:textId="5DC7BF16" w:rsidR="003C3210" w:rsidRPr="00BB36E6" w:rsidRDefault="003C3210" w:rsidP="00CB2A30">
            <w:pPr>
              <w:jc w:val="both"/>
              <w:rPr>
                <w:bCs/>
                <w:szCs w:val="24"/>
              </w:rPr>
            </w:pPr>
          </w:p>
        </w:tc>
        <w:tc>
          <w:tcPr>
            <w:tcW w:w="1560" w:type="dxa"/>
            <w:vMerge/>
          </w:tcPr>
          <w:p w14:paraId="337D215C" w14:textId="59138AFC" w:rsidR="003C3210" w:rsidRPr="00DA7383" w:rsidRDefault="003C3210" w:rsidP="00CB2A30">
            <w:pPr>
              <w:jc w:val="both"/>
              <w:rPr>
                <w:szCs w:val="24"/>
              </w:rPr>
            </w:pPr>
          </w:p>
        </w:tc>
        <w:tc>
          <w:tcPr>
            <w:tcW w:w="7541" w:type="dxa"/>
          </w:tcPr>
          <w:p w14:paraId="105C25ED" w14:textId="77777777" w:rsidR="003C3210" w:rsidRDefault="003C3210" w:rsidP="00BB36E6">
            <w:pPr>
              <w:jc w:val="both"/>
              <w:rPr>
                <w:lang w:val="en-US"/>
              </w:rPr>
            </w:pPr>
            <w:r w:rsidRPr="00BB36E6">
              <w:t xml:space="preserve">Atsižvelgiant į dabar paaiškėjusius svertinius kiekvieno prioritetinio stebėsenos rodiklio vertinimo svorio koeficientus, kurie nebuvo detalizuoti 2025-06-26 viešam aptarimui skelbtuose prioritetiniuose atrankos kriterijuose, pastebime, kad dabartinis koeficientų išdėstymas gali prastai diferencijuoti pareiškėjus pareiškėjų naudos ir kokybės vertinimo metu. Atsižvelgiant į tai, kad pagal kriterijų Nr. 3, kuriam yra suteikiamas didžiausias atrankos balų skaičius, taškai yra skiriami tiems pareiškėjams, kurių numatomas diegti DI produktas/sprendimas pasižymi mašininio mokymosi (ar kitais sąraše nurodytais) funkcionalumais, tačiau šiuolaikiniai pažangūs dirbtinio intelekto sprendimai beveik niekada neapsieina be mašininio mokymosi, kyla pagrįsta rizika, jog pagal šį kriterijų maksimalų atrankos balų skaičių gaus beveik visi pareiškėjai. Analogiškai, atrankos kriterijus Nr. 4 – skaitmeninio intensyvumo lygis vadovaujantis DESI indeksu – taip pat yra moraliai pasenęs, kadangi šiais laikais užtikrinti 7 iš 12 nurodytų technologijų naudojimą geba beveik visos įmonės. Visa tai lemia, kad vienintelis </w:t>
            </w:r>
            <w:proofErr w:type="spellStart"/>
            <w:r w:rsidRPr="00BB36E6">
              <w:t>diferenciacinę</w:t>
            </w:r>
            <w:proofErr w:type="spellEnd"/>
            <w:r w:rsidRPr="00BB36E6">
              <w:t xml:space="preserve"> galią turintis atrankos kriterijus yra Nr. 5 – papildomas prisidėjimas prie projekto nuosava dalimi. </w:t>
            </w:r>
            <w:proofErr w:type="spellStart"/>
            <w:r>
              <w:rPr>
                <w:lang w:val="en-US"/>
              </w:rPr>
              <w:t>Dėl</w:t>
            </w:r>
            <w:proofErr w:type="spellEnd"/>
            <w:r>
              <w:rPr>
                <w:lang w:val="en-US"/>
              </w:rPr>
              <w:t xml:space="preserve"> </w:t>
            </w:r>
            <w:proofErr w:type="spellStart"/>
            <w:r>
              <w:rPr>
                <w:lang w:val="en-US"/>
              </w:rPr>
              <w:t>šios</w:t>
            </w:r>
            <w:proofErr w:type="spellEnd"/>
            <w:r>
              <w:rPr>
                <w:lang w:val="en-US"/>
              </w:rPr>
              <w:t xml:space="preserve"> </w:t>
            </w:r>
            <w:proofErr w:type="spellStart"/>
            <w:r>
              <w:rPr>
                <w:lang w:val="en-US"/>
              </w:rPr>
              <w:t>priežasties</w:t>
            </w:r>
            <w:proofErr w:type="spellEnd"/>
            <w:r>
              <w:rPr>
                <w:lang w:val="en-US"/>
              </w:rPr>
              <w:t xml:space="preserve">, </w:t>
            </w:r>
            <w:proofErr w:type="spellStart"/>
            <w:r>
              <w:rPr>
                <w:lang w:val="en-US"/>
              </w:rPr>
              <w:t>siūlome</w:t>
            </w:r>
            <w:proofErr w:type="spellEnd"/>
            <w:r>
              <w:rPr>
                <w:lang w:val="en-US"/>
              </w:rPr>
              <w:t>:</w:t>
            </w:r>
          </w:p>
          <w:p w14:paraId="3A27BBAE" w14:textId="7809C360" w:rsidR="003C3210" w:rsidRDefault="003C3210" w:rsidP="00BB36E6">
            <w:pPr>
              <w:numPr>
                <w:ilvl w:val="1"/>
                <w:numId w:val="23"/>
              </w:numPr>
              <w:jc w:val="both"/>
              <w:rPr>
                <w:lang w:val="en-US"/>
              </w:rPr>
            </w:pPr>
            <w:proofErr w:type="spellStart"/>
            <w:r>
              <w:rPr>
                <w:lang w:val="en-US"/>
              </w:rPr>
              <w:lastRenderedPageBreak/>
              <w:t>Pakoreguoti</w:t>
            </w:r>
            <w:proofErr w:type="spellEnd"/>
            <w:r>
              <w:rPr>
                <w:lang w:val="en-US"/>
              </w:rPr>
              <w:t xml:space="preserve"> </w:t>
            </w:r>
            <w:proofErr w:type="spellStart"/>
            <w:r>
              <w:rPr>
                <w:lang w:val="en-US"/>
              </w:rPr>
              <w:t>specialiųjų</w:t>
            </w:r>
            <w:proofErr w:type="spellEnd"/>
            <w:r>
              <w:rPr>
                <w:lang w:val="en-US"/>
              </w:rPr>
              <w:t xml:space="preserve"> </w:t>
            </w:r>
            <w:proofErr w:type="spellStart"/>
            <w:r>
              <w:rPr>
                <w:lang w:val="en-US"/>
              </w:rPr>
              <w:t>atrankos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svorio</w:t>
            </w:r>
            <w:proofErr w:type="spellEnd"/>
            <w:r>
              <w:rPr>
                <w:lang w:val="en-US"/>
              </w:rPr>
              <w:t xml:space="preserve"> </w:t>
            </w:r>
            <w:proofErr w:type="spellStart"/>
            <w:r>
              <w:rPr>
                <w:lang w:val="en-US"/>
              </w:rPr>
              <w:t>koeficientus</w:t>
            </w:r>
            <w:proofErr w:type="spellEnd"/>
            <w:r>
              <w:rPr>
                <w:lang w:val="en-US"/>
              </w:rPr>
              <w:t xml:space="preserve">, </w:t>
            </w:r>
            <w:proofErr w:type="spellStart"/>
            <w:r>
              <w:rPr>
                <w:lang w:val="en-US"/>
              </w:rPr>
              <w:t>mažinant</w:t>
            </w:r>
            <w:proofErr w:type="spellEnd"/>
            <w:r>
              <w:rPr>
                <w:lang w:val="en-US"/>
              </w:rPr>
              <w:t xml:space="preserve"> </w:t>
            </w:r>
            <w:proofErr w:type="spellStart"/>
            <w:r>
              <w:rPr>
                <w:lang w:val="en-US"/>
              </w:rPr>
              <w:t>kriterijaus</w:t>
            </w:r>
            <w:proofErr w:type="spellEnd"/>
            <w:r>
              <w:rPr>
                <w:lang w:val="en-US"/>
              </w:rPr>
              <w:t xml:space="preserve"> Nr. 4 </w:t>
            </w:r>
            <w:proofErr w:type="spellStart"/>
            <w:r>
              <w:rPr>
                <w:lang w:val="en-US"/>
              </w:rPr>
              <w:t>svertinę</w:t>
            </w:r>
            <w:proofErr w:type="spellEnd"/>
            <w:r>
              <w:rPr>
                <w:lang w:val="en-US"/>
              </w:rPr>
              <w:t xml:space="preserve"> </w:t>
            </w:r>
            <w:proofErr w:type="spellStart"/>
            <w:r>
              <w:rPr>
                <w:lang w:val="en-US"/>
              </w:rPr>
              <w:t>galią</w:t>
            </w:r>
            <w:proofErr w:type="spellEnd"/>
            <w:r>
              <w:rPr>
                <w:lang w:val="en-US"/>
              </w:rPr>
              <w:t xml:space="preserve"> </w:t>
            </w:r>
            <w:proofErr w:type="spellStart"/>
            <w:r>
              <w:rPr>
                <w:lang w:val="en-US"/>
              </w:rPr>
              <w:t>iki</w:t>
            </w:r>
            <w:proofErr w:type="spellEnd"/>
            <w:r>
              <w:rPr>
                <w:lang w:val="en-US"/>
              </w:rPr>
              <w:t xml:space="preserve"> 4, t. y. </w:t>
            </w:r>
            <w:proofErr w:type="spellStart"/>
            <w:r>
              <w:rPr>
                <w:lang w:val="en-US"/>
              </w:rPr>
              <w:t>nustatant</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maksimalus</w:t>
            </w:r>
            <w:proofErr w:type="spellEnd"/>
            <w:r>
              <w:rPr>
                <w:lang w:val="en-US"/>
              </w:rPr>
              <w:t xml:space="preserve"> </w:t>
            </w:r>
            <w:proofErr w:type="spellStart"/>
            <w:r>
              <w:rPr>
                <w:lang w:val="en-US"/>
              </w:rPr>
              <w:t>galimas</w:t>
            </w:r>
            <w:proofErr w:type="spellEnd"/>
            <w:r>
              <w:rPr>
                <w:lang w:val="en-US"/>
              </w:rPr>
              <w:t xml:space="preserve"> </w:t>
            </w:r>
            <w:proofErr w:type="spellStart"/>
            <w:r>
              <w:rPr>
                <w:lang w:val="en-US"/>
              </w:rPr>
              <w:t>balas</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šį</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yra</w:t>
            </w:r>
            <w:proofErr w:type="spellEnd"/>
            <w:r>
              <w:rPr>
                <w:lang w:val="en-US"/>
              </w:rPr>
              <w:t xml:space="preserve"> </w:t>
            </w:r>
            <w:proofErr w:type="gramStart"/>
            <w:r>
              <w:rPr>
                <w:lang w:val="en-US"/>
              </w:rPr>
              <w:t>20;</w:t>
            </w:r>
            <w:proofErr w:type="gramEnd"/>
          </w:p>
          <w:p w14:paraId="2157E019" w14:textId="29992D0B" w:rsidR="003C3210" w:rsidRDefault="003C3210" w:rsidP="00BB36E6">
            <w:pPr>
              <w:numPr>
                <w:ilvl w:val="1"/>
                <w:numId w:val="23"/>
              </w:numPr>
              <w:jc w:val="both"/>
              <w:rPr>
                <w:lang w:val="en-US"/>
              </w:rPr>
            </w:pPr>
            <w:proofErr w:type="spellStart"/>
            <w:r>
              <w:rPr>
                <w:lang w:val="en-US"/>
              </w:rPr>
              <w:t>Jeigu</w:t>
            </w:r>
            <w:proofErr w:type="spellEnd"/>
            <w:r>
              <w:rPr>
                <w:lang w:val="en-US"/>
              </w:rPr>
              <w:t xml:space="preserve"> </w:t>
            </w:r>
            <w:proofErr w:type="spellStart"/>
            <w:r>
              <w:rPr>
                <w:lang w:val="en-US"/>
              </w:rPr>
              <w:t>šiame</w:t>
            </w:r>
            <w:proofErr w:type="spellEnd"/>
            <w:r>
              <w:rPr>
                <w:lang w:val="en-US"/>
              </w:rPr>
              <w:t xml:space="preserve"> </w:t>
            </w:r>
            <w:proofErr w:type="spellStart"/>
            <w:r>
              <w:rPr>
                <w:lang w:val="en-US"/>
              </w:rPr>
              <w:t>etape</w:t>
            </w:r>
            <w:proofErr w:type="spellEnd"/>
            <w:r>
              <w:rPr>
                <w:lang w:val="en-US"/>
              </w:rPr>
              <w:t xml:space="preserve"> vis </w:t>
            </w:r>
            <w:proofErr w:type="spellStart"/>
            <w:r>
              <w:rPr>
                <w:lang w:val="en-US"/>
              </w:rPr>
              <w:t>dar</w:t>
            </w:r>
            <w:proofErr w:type="spellEnd"/>
            <w:r>
              <w:rPr>
                <w:lang w:val="en-US"/>
              </w:rPr>
              <w:t xml:space="preserve"> </w:t>
            </w:r>
            <w:proofErr w:type="spellStart"/>
            <w:r>
              <w:rPr>
                <w:lang w:val="en-US"/>
              </w:rPr>
              <w:t>įmanoma</w:t>
            </w:r>
            <w:proofErr w:type="spellEnd"/>
            <w:r>
              <w:rPr>
                <w:lang w:val="en-US"/>
              </w:rPr>
              <w:t xml:space="preserve"> </w:t>
            </w:r>
            <w:proofErr w:type="spellStart"/>
            <w:r>
              <w:rPr>
                <w:lang w:val="en-US"/>
              </w:rPr>
              <w:t>keisti</w:t>
            </w:r>
            <w:proofErr w:type="spellEnd"/>
            <w:r>
              <w:rPr>
                <w:lang w:val="en-US"/>
              </w:rPr>
              <w:t xml:space="preserve"> </w:t>
            </w:r>
            <w:proofErr w:type="spellStart"/>
            <w:r>
              <w:rPr>
                <w:lang w:val="en-US"/>
              </w:rPr>
              <w:t>prioriterinių</w:t>
            </w:r>
            <w:proofErr w:type="spellEnd"/>
            <w:r>
              <w:rPr>
                <w:lang w:val="en-US"/>
              </w:rPr>
              <w:t xml:space="preserve"> </w:t>
            </w:r>
            <w:proofErr w:type="spellStart"/>
            <w:r>
              <w:rPr>
                <w:lang w:val="en-US"/>
              </w:rPr>
              <w:t>atrankos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formuluotes</w:t>
            </w:r>
            <w:proofErr w:type="spellEnd"/>
            <w:r>
              <w:rPr>
                <w:lang w:val="en-US"/>
              </w:rPr>
              <w:t xml:space="preserve">, </w:t>
            </w:r>
            <w:proofErr w:type="spellStart"/>
            <w:r>
              <w:rPr>
                <w:lang w:val="en-US"/>
              </w:rPr>
              <w:t>tokiu</w:t>
            </w:r>
            <w:proofErr w:type="spellEnd"/>
            <w:r>
              <w:rPr>
                <w:lang w:val="en-US"/>
              </w:rPr>
              <w:t xml:space="preserve"> </w:t>
            </w:r>
            <w:proofErr w:type="spellStart"/>
            <w:r>
              <w:rPr>
                <w:lang w:val="en-US"/>
              </w:rPr>
              <w:t>atveju</w:t>
            </w:r>
            <w:proofErr w:type="spellEnd"/>
            <w:r>
              <w:rPr>
                <w:lang w:val="en-US"/>
              </w:rPr>
              <w:t xml:space="preserve"> </w:t>
            </w:r>
            <w:proofErr w:type="spellStart"/>
            <w:r>
              <w:rPr>
                <w:lang w:val="en-US"/>
              </w:rPr>
              <w:t>siekiant</w:t>
            </w:r>
            <w:proofErr w:type="spellEnd"/>
            <w:r>
              <w:rPr>
                <w:lang w:val="en-US"/>
              </w:rPr>
              <w:t xml:space="preserve"> </w:t>
            </w:r>
            <w:proofErr w:type="spellStart"/>
            <w:r>
              <w:rPr>
                <w:lang w:val="en-US"/>
              </w:rPr>
              <w:t>didinti</w:t>
            </w:r>
            <w:proofErr w:type="spellEnd"/>
            <w:r>
              <w:rPr>
                <w:lang w:val="en-US"/>
              </w:rPr>
              <w:t xml:space="preserve"> </w:t>
            </w:r>
            <w:proofErr w:type="spellStart"/>
            <w:r>
              <w:rPr>
                <w:lang w:val="en-US"/>
              </w:rPr>
              <w:t>šio</w:t>
            </w:r>
            <w:proofErr w:type="spellEnd"/>
            <w:r>
              <w:rPr>
                <w:lang w:val="en-US"/>
              </w:rPr>
              <w:t xml:space="preserve"> </w:t>
            </w:r>
            <w:proofErr w:type="spellStart"/>
            <w:r>
              <w:rPr>
                <w:lang w:val="en-US"/>
              </w:rPr>
              <w:t>kriterijaus</w:t>
            </w:r>
            <w:proofErr w:type="spellEnd"/>
            <w:r>
              <w:rPr>
                <w:lang w:val="en-US"/>
              </w:rPr>
              <w:t xml:space="preserve"> </w:t>
            </w:r>
            <w:proofErr w:type="spellStart"/>
            <w:r>
              <w:rPr>
                <w:lang w:val="en-US"/>
              </w:rPr>
              <w:t>diferenciacinius</w:t>
            </w:r>
            <w:proofErr w:type="spellEnd"/>
            <w:r>
              <w:rPr>
                <w:lang w:val="en-US"/>
              </w:rPr>
              <w:t xml:space="preserve"> </w:t>
            </w:r>
            <w:proofErr w:type="spellStart"/>
            <w:r>
              <w:rPr>
                <w:lang w:val="en-US"/>
              </w:rPr>
              <w:t>pajėgumus</w:t>
            </w:r>
            <w:proofErr w:type="spellEnd"/>
            <w:r>
              <w:rPr>
                <w:lang w:val="en-US"/>
              </w:rPr>
              <w:t xml:space="preserve">, 5 </w:t>
            </w:r>
            <w:proofErr w:type="spellStart"/>
            <w:r>
              <w:rPr>
                <w:lang w:val="en-US"/>
              </w:rPr>
              <w:t>balai</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šį</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turėtų</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skiriami</w:t>
            </w:r>
            <w:proofErr w:type="spellEnd"/>
            <w:r>
              <w:rPr>
                <w:lang w:val="en-US"/>
              </w:rPr>
              <w:t xml:space="preserve"> toms </w:t>
            </w:r>
            <w:proofErr w:type="spellStart"/>
            <w:r>
              <w:rPr>
                <w:lang w:val="en-US"/>
              </w:rPr>
              <w:t>įmonėms</w:t>
            </w:r>
            <w:proofErr w:type="spellEnd"/>
            <w:r>
              <w:rPr>
                <w:lang w:val="en-US"/>
              </w:rPr>
              <w:t xml:space="preserve">, </w:t>
            </w:r>
            <w:proofErr w:type="spellStart"/>
            <w:r>
              <w:rPr>
                <w:lang w:val="en-US"/>
              </w:rPr>
              <w:t>kurios</w:t>
            </w:r>
            <w:proofErr w:type="spellEnd"/>
            <w:r>
              <w:rPr>
                <w:lang w:val="en-US"/>
              </w:rPr>
              <w:t xml:space="preserve"> </w:t>
            </w:r>
            <w:proofErr w:type="spellStart"/>
            <w:r>
              <w:rPr>
                <w:lang w:val="en-US"/>
              </w:rPr>
              <w:t>savo</w:t>
            </w:r>
            <w:proofErr w:type="spellEnd"/>
            <w:r>
              <w:rPr>
                <w:lang w:val="en-US"/>
              </w:rPr>
              <w:t xml:space="preserve"> </w:t>
            </w:r>
            <w:proofErr w:type="spellStart"/>
            <w:r>
              <w:rPr>
                <w:lang w:val="en-US"/>
              </w:rPr>
              <w:t>veikloje</w:t>
            </w:r>
            <w:proofErr w:type="spellEnd"/>
            <w:r>
              <w:rPr>
                <w:lang w:val="en-US"/>
              </w:rPr>
              <w:t xml:space="preserve"> </w:t>
            </w:r>
            <w:proofErr w:type="spellStart"/>
            <w:r>
              <w:rPr>
                <w:lang w:val="en-US"/>
              </w:rPr>
              <w:t>naudoja</w:t>
            </w:r>
            <w:proofErr w:type="spellEnd"/>
            <w:r>
              <w:rPr>
                <w:lang w:val="en-US"/>
              </w:rPr>
              <w:t xml:space="preserve"> bent </w:t>
            </w:r>
            <w:proofErr w:type="spellStart"/>
            <w:r>
              <w:rPr>
                <w:lang w:val="en-US"/>
              </w:rPr>
              <w:t>jau</w:t>
            </w:r>
            <w:proofErr w:type="spellEnd"/>
            <w:r>
              <w:rPr>
                <w:lang w:val="en-US"/>
              </w:rPr>
              <w:t xml:space="preserve"> 10 </w:t>
            </w:r>
            <w:proofErr w:type="spellStart"/>
            <w:r>
              <w:rPr>
                <w:lang w:val="en-US"/>
              </w:rPr>
              <w:t>iš</w:t>
            </w:r>
            <w:proofErr w:type="spellEnd"/>
            <w:r>
              <w:rPr>
                <w:lang w:val="en-US"/>
              </w:rPr>
              <w:t xml:space="preserve"> 12 </w:t>
            </w:r>
            <w:proofErr w:type="spellStart"/>
            <w:r>
              <w:rPr>
                <w:lang w:val="en-US"/>
              </w:rPr>
              <w:t>nurodytų</w:t>
            </w:r>
            <w:proofErr w:type="spellEnd"/>
            <w:r>
              <w:rPr>
                <w:lang w:val="en-US"/>
              </w:rPr>
              <w:t xml:space="preserve"> </w:t>
            </w:r>
            <w:proofErr w:type="spellStart"/>
            <w:proofErr w:type="gramStart"/>
            <w:r>
              <w:rPr>
                <w:lang w:val="en-US"/>
              </w:rPr>
              <w:t>technologijų</w:t>
            </w:r>
            <w:proofErr w:type="spellEnd"/>
            <w:r>
              <w:rPr>
                <w:lang w:val="en-US"/>
              </w:rPr>
              <w:t>;</w:t>
            </w:r>
            <w:proofErr w:type="gramEnd"/>
          </w:p>
          <w:p w14:paraId="62758715" w14:textId="6416D178" w:rsidR="003C3210" w:rsidRPr="00BB36E6" w:rsidRDefault="003C3210" w:rsidP="00BB36E6">
            <w:pPr>
              <w:numPr>
                <w:ilvl w:val="1"/>
                <w:numId w:val="23"/>
              </w:numPr>
              <w:jc w:val="both"/>
              <w:rPr>
                <w:lang w:val="en-US"/>
              </w:rPr>
            </w:pPr>
            <w:proofErr w:type="spellStart"/>
            <w:r>
              <w:rPr>
                <w:lang w:val="en-US"/>
              </w:rPr>
              <w:t>Jeigu</w:t>
            </w:r>
            <w:proofErr w:type="spellEnd"/>
            <w:r>
              <w:rPr>
                <w:lang w:val="en-US"/>
              </w:rPr>
              <w:t xml:space="preserve"> </w:t>
            </w:r>
            <w:proofErr w:type="spellStart"/>
            <w:r>
              <w:rPr>
                <w:lang w:val="en-US"/>
              </w:rPr>
              <w:t>šiame</w:t>
            </w:r>
            <w:proofErr w:type="spellEnd"/>
            <w:r>
              <w:rPr>
                <w:lang w:val="en-US"/>
              </w:rPr>
              <w:t xml:space="preserve"> </w:t>
            </w:r>
            <w:proofErr w:type="spellStart"/>
            <w:r>
              <w:rPr>
                <w:lang w:val="en-US"/>
              </w:rPr>
              <w:t>etape</w:t>
            </w:r>
            <w:proofErr w:type="spellEnd"/>
            <w:r>
              <w:rPr>
                <w:lang w:val="en-US"/>
              </w:rPr>
              <w:t xml:space="preserve"> vis </w:t>
            </w:r>
            <w:proofErr w:type="spellStart"/>
            <w:r>
              <w:rPr>
                <w:lang w:val="en-US"/>
              </w:rPr>
              <w:t>dar</w:t>
            </w:r>
            <w:proofErr w:type="spellEnd"/>
            <w:r>
              <w:rPr>
                <w:lang w:val="en-US"/>
              </w:rPr>
              <w:t xml:space="preserve"> </w:t>
            </w:r>
            <w:proofErr w:type="spellStart"/>
            <w:r>
              <w:rPr>
                <w:lang w:val="en-US"/>
              </w:rPr>
              <w:t>įmanoma</w:t>
            </w:r>
            <w:proofErr w:type="spellEnd"/>
            <w:r>
              <w:rPr>
                <w:lang w:val="en-US"/>
              </w:rPr>
              <w:t xml:space="preserve"> </w:t>
            </w:r>
            <w:proofErr w:type="spellStart"/>
            <w:r>
              <w:rPr>
                <w:lang w:val="en-US"/>
              </w:rPr>
              <w:t>keisti</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formuluotes</w:t>
            </w:r>
            <w:proofErr w:type="spellEnd"/>
            <w:r>
              <w:rPr>
                <w:lang w:val="en-US"/>
              </w:rPr>
              <w:t xml:space="preserve">, </w:t>
            </w:r>
            <w:proofErr w:type="spellStart"/>
            <w:r>
              <w:rPr>
                <w:lang w:val="en-US"/>
              </w:rPr>
              <w:t>kriterijus</w:t>
            </w:r>
            <w:proofErr w:type="spellEnd"/>
            <w:r>
              <w:rPr>
                <w:lang w:val="en-US"/>
              </w:rPr>
              <w:t xml:space="preserve"> Nr. 3 </w:t>
            </w:r>
            <w:proofErr w:type="spellStart"/>
            <w:r>
              <w:rPr>
                <w:lang w:val="en-US"/>
              </w:rPr>
              <w:t>neturėtų</w:t>
            </w:r>
            <w:proofErr w:type="spellEnd"/>
            <w:r>
              <w:rPr>
                <w:lang w:val="en-US"/>
              </w:rPr>
              <w:t xml:space="preserve"> </w:t>
            </w:r>
            <w:proofErr w:type="spellStart"/>
            <w:r>
              <w:rPr>
                <w:lang w:val="en-US"/>
              </w:rPr>
              <w:t>apimti</w:t>
            </w:r>
            <w:proofErr w:type="spellEnd"/>
            <w:r>
              <w:rPr>
                <w:lang w:val="en-US"/>
              </w:rPr>
              <w:t xml:space="preserve"> „</w:t>
            </w:r>
            <w:proofErr w:type="spellStart"/>
            <w:r>
              <w:rPr>
                <w:lang w:val="en-US"/>
              </w:rPr>
              <w:t>mašininio</w:t>
            </w:r>
            <w:proofErr w:type="spellEnd"/>
            <w:r>
              <w:rPr>
                <w:lang w:val="en-US"/>
              </w:rPr>
              <w:t xml:space="preserve"> </w:t>
            </w:r>
            <w:proofErr w:type="spellStart"/>
            <w:proofErr w:type="gramStart"/>
            <w:r>
              <w:rPr>
                <w:lang w:val="en-US"/>
              </w:rPr>
              <w:t>mokymosi</w:t>
            </w:r>
            <w:proofErr w:type="spellEnd"/>
            <w:r>
              <w:rPr>
                <w:lang w:val="en-US"/>
              </w:rPr>
              <w:t xml:space="preserve">“ </w:t>
            </w:r>
            <w:proofErr w:type="spellStart"/>
            <w:r>
              <w:rPr>
                <w:lang w:val="en-US"/>
              </w:rPr>
              <w:t>srities</w:t>
            </w:r>
            <w:proofErr w:type="spellEnd"/>
            <w:proofErr w:type="gramEnd"/>
            <w:r>
              <w:rPr>
                <w:lang w:val="en-US"/>
              </w:rPr>
              <w:t xml:space="preserve">, </w:t>
            </w:r>
            <w:proofErr w:type="spellStart"/>
            <w:r>
              <w:rPr>
                <w:lang w:val="en-US"/>
              </w:rPr>
              <w:t>kadangi</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minėta</w:t>
            </w:r>
            <w:proofErr w:type="spellEnd"/>
            <w:r>
              <w:rPr>
                <w:lang w:val="en-US"/>
              </w:rPr>
              <w:t xml:space="preserve"> </w:t>
            </w:r>
            <w:proofErr w:type="spellStart"/>
            <w:r>
              <w:rPr>
                <w:lang w:val="en-US"/>
              </w:rPr>
              <w:t>aukščiau</w:t>
            </w:r>
            <w:proofErr w:type="spellEnd"/>
            <w:r>
              <w:rPr>
                <w:lang w:val="en-US"/>
              </w:rPr>
              <w:t xml:space="preserve">, </w:t>
            </w:r>
            <w:proofErr w:type="spellStart"/>
            <w:r>
              <w:rPr>
                <w:lang w:val="en-US"/>
              </w:rPr>
              <w:t>nenaudojant</w:t>
            </w:r>
            <w:proofErr w:type="spellEnd"/>
            <w:r>
              <w:rPr>
                <w:lang w:val="en-US"/>
              </w:rPr>
              <w:t xml:space="preserve"> </w:t>
            </w:r>
            <w:proofErr w:type="spellStart"/>
            <w:r>
              <w:rPr>
                <w:lang w:val="en-US"/>
              </w:rPr>
              <w:t>mašininio</w:t>
            </w:r>
            <w:proofErr w:type="spellEnd"/>
            <w:r>
              <w:rPr>
                <w:lang w:val="en-US"/>
              </w:rPr>
              <w:t xml:space="preserve"> </w:t>
            </w:r>
            <w:proofErr w:type="spellStart"/>
            <w:r>
              <w:rPr>
                <w:lang w:val="en-US"/>
              </w:rPr>
              <w:t>mokymosi</w:t>
            </w:r>
            <w:proofErr w:type="spellEnd"/>
            <w:r>
              <w:rPr>
                <w:lang w:val="en-US"/>
              </w:rPr>
              <w:t xml:space="preserve">, </w:t>
            </w:r>
            <w:proofErr w:type="spellStart"/>
            <w:r>
              <w:rPr>
                <w:lang w:val="en-US"/>
              </w:rPr>
              <w:t>įdiegti</w:t>
            </w:r>
            <w:proofErr w:type="spellEnd"/>
            <w:r>
              <w:rPr>
                <w:lang w:val="en-US"/>
              </w:rPr>
              <w:t xml:space="preserve"> </w:t>
            </w:r>
            <w:proofErr w:type="spellStart"/>
            <w:r>
              <w:rPr>
                <w:lang w:val="en-US"/>
              </w:rPr>
              <w:t>pažangius</w:t>
            </w:r>
            <w:proofErr w:type="spellEnd"/>
            <w:r>
              <w:rPr>
                <w:lang w:val="en-US"/>
              </w:rPr>
              <w:t xml:space="preserve"> DI </w:t>
            </w:r>
            <w:proofErr w:type="spellStart"/>
            <w:r>
              <w:rPr>
                <w:lang w:val="en-US"/>
              </w:rPr>
              <w:t>sprendimus</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neįmanoma</w:t>
            </w:r>
            <w:proofErr w:type="spellEnd"/>
            <w:r>
              <w:rPr>
                <w:lang w:val="en-US"/>
              </w:rPr>
              <w:t xml:space="preserve">, </w:t>
            </w:r>
            <w:proofErr w:type="spellStart"/>
            <w:r>
              <w:rPr>
                <w:lang w:val="en-US"/>
              </w:rPr>
              <w:t>t.y</w:t>
            </w:r>
            <w:proofErr w:type="spellEnd"/>
            <w:r>
              <w:rPr>
                <w:lang w:val="en-US"/>
              </w:rPr>
              <w:t xml:space="preserve">. machine learning </w:t>
            </w:r>
            <w:proofErr w:type="spellStart"/>
            <w:r>
              <w:rPr>
                <w:lang w:val="en-US"/>
              </w:rPr>
              <w:t>terminas</w:t>
            </w:r>
            <w:proofErr w:type="spellEnd"/>
            <w:r>
              <w:rPr>
                <w:lang w:val="en-US"/>
              </w:rPr>
              <w:t xml:space="preserve"> </w:t>
            </w:r>
            <w:proofErr w:type="spellStart"/>
            <w:r>
              <w:rPr>
                <w:lang w:val="en-US"/>
              </w:rPr>
              <w:t>nėra</w:t>
            </w:r>
            <w:proofErr w:type="spellEnd"/>
            <w:r>
              <w:rPr>
                <w:lang w:val="en-US"/>
              </w:rPr>
              <w:t xml:space="preserve"> </w:t>
            </w:r>
            <w:proofErr w:type="spellStart"/>
            <w:r>
              <w:rPr>
                <w:lang w:val="en-US"/>
              </w:rPr>
              <w:t>tinkamas</w:t>
            </w:r>
            <w:proofErr w:type="spellEnd"/>
            <w:r>
              <w:rPr>
                <w:lang w:val="en-US"/>
              </w:rPr>
              <w:t xml:space="preserve"> </w:t>
            </w:r>
            <w:proofErr w:type="spellStart"/>
            <w:r>
              <w:rPr>
                <w:lang w:val="en-US"/>
              </w:rPr>
              <w:t>pareiškėjų</w:t>
            </w:r>
            <w:proofErr w:type="spellEnd"/>
            <w:r>
              <w:rPr>
                <w:lang w:val="en-US"/>
              </w:rPr>
              <w:t xml:space="preserve"> </w:t>
            </w:r>
            <w:proofErr w:type="spellStart"/>
            <w:r>
              <w:rPr>
                <w:lang w:val="en-US"/>
              </w:rPr>
              <w:t>diferenciacijai</w:t>
            </w:r>
            <w:proofErr w:type="spellEnd"/>
            <w:r>
              <w:rPr>
                <w:lang w:val="en-US"/>
              </w:rPr>
              <w:t xml:space="preserve"> </w:t>
            </w:r>
            <w:proofErr w:type="spellStart"/>
            <w:r>
              <w:rPr>
                <w:lang w:val="en-US"/>
              </w:rPr>
              <w:t>šio</w:t>
            </w:r>
            <w:proofErr w:type="spellEnd"/>
            <w:r>
              <w:rPr>
                <w:lang w:val="en-US"/>
              </w:rPr>
              <w:t xml:space="preserve"> </w:t>
            </w:r>
            <w:proofErr w:type="spellStart"/>
            <w:r>
              <w:rPr>
                <w:lang w:val="en-US"/>
              </w:rPr>
              <w:t>kvietimo</w:t>
            </w:r>
            <w:proofErr w:type="spellEnd"/>
            <w:r>
              <w:rPr>
                <w:lang w:val="en-US"/>
              </w:rPr>
              <w:t xml:space="preserve"> </w:t>
            </w:r>
            <w:proofErr w:type="spellStart"/>
            <w:r>
              <w:rPr>
                <w:lang w:val="en-US"/>
              </w:rPr>
              <w:t>apimtimi</w:t>
            </w:r>
            <w:proofErr w:type="spellEnd"/>
            <w:r>
              <w:rPr>
                <w:lang w:val="en-US"/>
              </w:rPr>
              <w:t xml:space="preserve">, </w:t>
            </w:r>
            <w:proofErr w:type="spellStart"/>
            <w:r>
              <w:rPr>
                <w:lang w:val="en-US"/>
              </w:rPr>
              <w:t>kadangi</w:t>
            </w:r>
            <w:proofErr w:type="spellEnd"/>
            <w:r>
              <w:rPr>
                <w:lang w:val="en-US"/>
              </w:rPr>
              <w:t xml:space="preserve"> </w:t>
            </w:r>
            <w:proofErr w:type="spellStart"/>
            <w:r>
              <w:rPr>
                <w:lang w:val="en-US"/>
              </w:rPr>
              <w:t>tikėtina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šį</w:t>
            </w:r>
            <w:proofErr w:type="spellEnd"/>
            <w:r>
              <w:rPr>
                <w:lang w:val="en-US"/>
              </w:rPr>
              <w:t xml:space="preserve"> </w:t>
            </w:r>
            <w:proofErr w:type="spellStart"/>
            <w:r>
              <w:rPr>
                <w:lang w:val="en-US"/>
              </w:rPr>
              <w:t>terminą</w:t>
            </w:r>
            <w:proofErr w:type="spellEnd"/>
            <w:r>
              <w:rPr>
                <w:lang w:val="en-US"/>
              </w:rPr>
              <w:t xml:space="preserve"> </w:t>
            </w:r>
            <w:proofErr w:type="spellStart"/>
            <w:r>
              <w:rPr>
                <w:lang w:val="en-US"/>
              </w:rPr>
              <w:t>atitiks</w:t>
            </w:r>
            <w:proofErr w:type="spellEnd"/>
            <w:r>
              <w:rPr>
                <w:lang w:val="en-US"/>
              </w:rPr>
              <w:t xml:space="preserve"> </w:t>
            </w:r>
            <w:proofErr w:type="spellStart"/>
            <w:r>
              <w:rPr>
                <w:lang w:val="en-US"/>
              </w:rPr>
              <w:t>didžioji</w:t>
            </w:r>
            <w:proofErr w:type="spellEnd"/>
            <w:r>
              <w:rPr>
                <w:lang w:val="en-US"/>
              </w:rPr>
              <w:t xml:space="preserve"> </w:t>
            </w:r>
            <w:proofErr w:type="spellStart"/>
            <w:r>
              <w:rPr>
                <w:lang w:val="en-US"/>
              </w:rPr>
              <w:t>dalis</w:t>
            </w:r>
            <w:proofErr w:type="spellEnd"/>
            <w:r>
              <w:rPr>
                <w:lang w:val="en-US"/>
              </w:rPr>
              <w:t xml:space="preserve"> </w:t>
            </w:r>
            <w:proofErr w:type="spellStart"/>
            <w:r>
              <w:rPr>
                <w:lang w:val="en-US"/>
              </w:rPr>
              <w:t>pareiškėjų</w:t>
            </w:r>
            <w:proofErr w:type="spellEnd"/>
            <w:r>
              <w:rPr>
                <w:lang w:val="en-US"/>
              </w:rPr>
              <w:t xml:space="preserve">. Taip pat </w:t>
            </w:r>
            <w:proofErr w:type="spellStart"/>
            <w:r>
              <w:rPr>
                <w:lang w:val="en-US"/>
              </w:rPr>
              <w:t>siūlome</w:t>
            </w:r>
            <w:proofErr w:type="spellEnd"/>
            <w:r>
              <w:rPr>
                <w:lang w:val="en-US"/>
              </w:rPr>
              <w:t xml:space="preserve"> </w:t>
            </w:r>
            <w:proofErr w:type="spellStart"/>
            <w:r>
              <w:rPr>
                <w:lang w:val="en-US"/>
              </w:rPr>
              <w:t>patikslinti</w:t>
            </w:r>
            <w:proofErr w:type="spellEnd"/>
            <w:r>
              <w:rPr>
                <w:lang w:val="en-US"/>
              </w:rPr>
              <w:t xml:space="preserve"> „</w:t>
            </w:r>
            <w:proofErr w:type="spellStart"/>
            <w:r>
              <w:rPr>
                <w:lang w:val="en-US"/>
              </w:rPr>
              <w:t>išmaniosios</w:t>
            </w:r>
            <w:proofErr w:type="spellEnd"/>
            <w:r>
              <w:rPr>
                <w:lang w:val="en-US"/>
              </w:rPr>
              <w:t xml:space="preserve"> </w:t>
            </w:r>
            <w:proofErr w:type="spellStart"/>
            <w:r>
              <w:rPr>
                <w:lang w:val="en-US"/>
              </w:rPr>
              <w:t>robotikos</w:t>
            </w:r>
            <w:proofErr w:type="spellEnd"/>
            <w:r>
              <w:rPr>
                <w:lang w:val="en-US"/>
              </w:rPr>
              <w:t xml:space="preserve"> </w:t>
            </w:r>
            <w:proofErr w:type="spellStart"/>
            <w:r>
              <w:rPr>
                <w:lang w:val="en-US"/>
              </w:rPr>
              <w:t>ir</w:t>
            </w:r>
            <w:proofErr w:type="spellEnd"/>
            <w:r>
              <w:rPr>
                <w:lang w:val="en-US"/>
              </w:rPr>
              <w:t xml:space="preserve"> </w:t>
            </w:r>
            <w:proofErr w:type="spellStart"/>
            <w:proofErr w:type="gramStart"/>
            <w:r>
              <w:rPr>
                <w:lang w:val="en-US"/>
              </w:rPr>
              <w:t>automatizavimo</w:t>
            </w:r>
            <w:proofErr w:type="spellEnd"/>
            <w:r>
              <w:rPr>
                <w:lang w:val="en-US"/>
              </w:rPr>
              <w:t xml:space="preserve">“ </w:t>
            </w:r>
            <w:proofErr w:type="spellStart"/>
            <w:r>
              <w:rPr>
                <w:lang w:val="en-US"/>
              </w:rPr>
              <w:t>kriterijaus</w:t>
            </w:r>
            <w:proofErr w:type="spellEnd"/>
            <w:proofErr w:type="gramEnd"/>
            <w:r>
              <w:rPr>
                <w:lang w:val="en-US"/>
              </w:rPr>
              <w:t xml:space="preserve"> </w:t>
            </w:r>
            <w:proofErr w:type="spellStart"/>
            <w:r>
              <w:rPr>
                <w:lang w:val="en-US"/>
              </w:rPr>
              <w:t>formuluotę</w:t>
            </w:r>
            <w:proofErr w:type="spellEnd"/>
            <w:r>
              <w:rPr>
                <w:lang w:val="en-US"/>
              </w:rPr>
              <w:t xml:space="preserve">, </w:t>
            </w:r>
            <w:proofErr w:type="spellStart"/>
            <w:r>
              <w:rPr>
                <w:lang w:val="en-US"/>
              </w:rPr>
              <w:t>nurodant</w:t>
            </w:r>
            <w:proofErr w:type="spellEnd"/>
            <w:r>
              <w:rPr>
                <w:lang w:val="en-US"/>
              </w:rPr>
              <w:t xml:space="preserve"> jog </w:t>
            </w:r>
            <w:proofErr w:type="spellStart"/>
            <w:r>
              <w:rPr>
                <w:lang w:val="en-US"/>
              </w:rPr>
              <w:t>investicijos</w:t>
            </w:r>
            <w:proofErr w:type="spellEnd"/>
            <w:r>
              <w:rPr>
                <w:lang w:val="en-US"/>
              </w:rPr>
              <w:t xml:space="preserve"> į DI </w:t>
            </w:r>
            <w:proofErr w:type="spellStart"/>
            <w:r>
              <w:rPr>
                <w:lang w:val="en-US"/>
              </w:rPr>
              <w:t>valdomus</w:t>
            </w:r>
            <w:proofErr w:type="spellEnd"/>
            <w:r>
              <w:rPr>
                <w:lang w:val="en-US"/>
              </w:rPr>
              <w:t xml:space="preserve"> </w:t>
            </w:r>
            <w:proofErr w:type="spellStart"/>
            <w:r>
              <w:rPr>
                <w:lang w:val="en-US"/>
              </w:rPr>
              <w:t>robotus</w:t>
            </w:r>
            <w:proofErr w:type="spellEnd"/>
            <w:r>
              <w:rPr>
                <w:lang w:val="en-US"/>
              </w:rPr>
              <w:t xml:space="preserve"> </w:t>
            </w:r>
            <w:proofErr w:type="spellStart"/>
            <w:r>
              <w:rPr>
                <w:lang w:val="en-US"/>
              </w:rPr>
              <w:t>privalo</w:t>
            </w:r>
            <w:proofErr w:type="spellEnd"/>
            <w:r>
              <w:rPr>
                <w:lang w:val="en-US"/>
              </w:rPr>
              <w:t xml:space="preserve"> </w:t>
            </w:r>
            <w:proofErr w:type="spellStart"/>
            <w:r>
              <w:rPr>
                <w:lang w:val="en-US"/>
              </w:rPr>
              <w:t>apimti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investicijas</w:t>
            </w:r>
            <w:proofErr w:type="spellEnd"/>
            <w:r>
              <w:rPr>
                <w:lang w:val="en-US"/>
              </w:rPr>
              <w:t xml:space="preserve"> į </w:t>
            </w:r>
            <w:r>
              <w:rPr>
                <w:i/>
                <w:iCs/>
                <w:lang w:val="en-US"/>
              </w:rPr>
              <w:t>hardware</w:t>
            </w:r>
            <w:r>
              <w:rPr>
                <w:lang w:val="en-US"/>
              </w:rPr>
              <w:t> </w:t>
            </w:r>
            <w:proofErr w:type="spellStart"/>
            <w:r>
              <w:rPr>
                <w:lang w:val="en-US"/>
              </w:rPr>
              <w:t>įrangą</w:t>
            </w:r>
            <w:proofErr w:type="spellEnd"/>
            <w:r>
              <w:rPr>
                <w:lang w:val="en-US"/>
              </w:rPr>
              <w:t>.</w:t>
            </w:r>
          </w:p>
        </w:tc>
        <w:tc>
          <w:tcPr>
            <w:tcW w:w="5103" w:type="dxa"/>
          </w:tcPr>
          <w:p w14:paraId="4CD2C52F" w14:textId="77777777" w:rsidR="003C3210" w:rsidRDefault="003C3210" w:rsidP="009F16C3">
            <w:pPr>
              <w:jc w:val="both"/>
              <w:outlineLvl w:val="0"/>
              <w:rPr>
                <w:szCs w:val="24"/>
              </w:rPr>
            </w:pPr>
            <w:r>
              <w:rPr>
                <w:szCs w:val="24"/>
              </w:rPr>
              <w:lastRenderedPageBreak/>
              <w:t>Neatsižvelgta.</w:t>
            </w:r>
          </w:p>
          <w:p w14:paraId="7237163F" w14:textId="2DC07EF2" w:rsidR="003C3210" w:rsidRPr="009F16C3" w:rsidRDefault="003C3210" w:rsidP="009F16C3">
            <w:pPr>
              <w:jc w:val="both"/>
              <w:outlineLvl w:val="0"/>
              <w:rPr>
                <w:szCs w:val="24"/>
              </w:rPr>
            </w:pPr>
            <w:r>
              <w:rPr>
                <w:szCs w:val="24"/>
              </w:rPr>
              <w:t xml:space="preserve">Kriterijaus formuluočių ir vertinimo svertų negalima keisti, nes kriterijai yra patvirtinti </w:t>
            </w:r>
            <w:r w:rsidRPr="00374FDC">
              <w:rPr>
                <w:bCs/>
              </w:rPr>
              <w:t>2025</w:t>
            </w:r>
            <w:r>
              <w:rPr>
                <w:bCs/>
              </w:rPr>
              <w:t xml:space="preserve"> m. spalio </w:t>
            </w:r>
            <w:r w:rsidRPr="00374FDC">
              <w:rPr>
                <w:bCs/>
              </w:rPr>
              <w:t xml:space="preserve">22 </w:t>
            </w:r>
            <w:r>
              <w:rPr>
                <w:bCs/>
              </w:rPr>
              <w:t xml:space="preserve">d. </w:t>
            </w:r>
            <w:r w:rsidRPr="009F16C3">
              <w:rPr>
                <w:szCs w:val="24"/>
              </w:rPr>
              <w:t xml:space="preserve">2021–2027 metų Europos </w:t>
            </w:r>
            <w:r>
              <w:rPr>
                <w:szCs w:val="24"/>
              </w:rPr>
              <w:t>S</w:t>
            </w:r>
            <w:r w:rsidRPr="009F16C3">
              <w:rPr>
                <w:szCs w:val="24"/>
              </w:rPr>
              <w:t>ąjungos fondų investicijų programos stebėsenos komiteto posėdžio</w:t>
            </w:r>
            <w:r>
              <w:rPr>
                <w:szCs w:val="24"/>
              </w:rPr>
              <w:t xml:space="preserve"> protokoliniu sprendimu</w:t>
            </w:r>
            <w:r w:rsidRPr="00374FDC">
              <w:rPr>
                <w:bCs/>
              </w:rPr>
              <w:t xml:space="preserve"> Nr. 46P-6 (31)</w:t>
            </w:r>
            <w:r>
              <w:rPr>
                <w:bCs/>
              </w:rPr>
              <w:t>, kur nurodyta, kuriam kriterijui bus suteikiamas didžiausias vertinimo balas. Atkreiptinas dėmesys, kad projektų atrankos kriterijai yra patvirtinami dar prieš rengiant projektų finansavimo sąlygų aprašą, kurio vienas iš punktų yra atitiktis projektų atrankos kriterijams, todėl pastabos kriterijams ir jų formuluotės turi būti teikiamos projektų atrankos kriterijų viešojo aptarimo metu. Vykstant šios veiklos viešajam aptarimui nebuvo pateikta pastabų dėl numatomo vertinimo.</w:t>
            </w:r>
          </w:p>
          <w:p w14:paraId="064DD027" w14:textId="77777777" w:rsidR="003C3210" w:rsidRPr="00374FDC" w:rsidRDefault="003C3210" w:rsidP="009F16C3">
            <w:pPr>
              <w:jc w:val="both"/>
              <w:outlineLvl w:val="0"/>
              <w:rPr>
                <w:bCs/>
              </w:rPr>
            </w:pPr>
          </w:p>
          <w:p w14:paraId="51CC2777" w14:textId="2989E4C1" w:rsidR="003C3210" w:rsidRPr="0038693F" w:rsidRDefault="003C3210" w:rsidP="009F16C3">
            <w:pPr>
              <w:jc w:val="both"/>
              <w:rPr>
                <w:szCs w:val="24"/>
              </w:rPr>
            </w:pPr>
            <w:r>
              <w:rPr>
                <w:szCs w:val="24"/>
              </w:rPr>
              <w:t xml:space="preserve"> </w:t>
            </w:r>
          </w:p>
        </w:tc>
      </w:tr>
      <w:tr w:rsidR="003C3210" w:rsidRPr="00DA7383" w14:paraId="677EFA3C" w14:textId="77777777" w:rsidTr="00DA7383">
        <w:trPr>
          <w:trHeight w:val="3100"/>
        </w:trPr>
        <w:tc>
          <w:tcPr>
            <w:tcW w:w="567" w:type="dxa"/>
            <w:vMerge/>
          </w:tcPr>
          <w:p w14:paraId="15543D5D" w14:textId="77777777" w:rsidR="003C3210" w:rsidRPr="0038693F" w:rsidRDefault="003C3210" w:rsidP="00CB2A30">
            <w:pPr>
              <w:jc w:val="both"/>
              <w:rPr>
                <w:bCs/>
                <w:szCs w:val="24"/>
              </w:rPr>
            </w:pPr>
          </w:p>
        </w:tc>
        <w:tc>
          <w:tcPr>
            <w:tcW w:w="1560" w:type="dxa"/>
            <w:vMerge/>
          </w:tcPr>
          <w:p w14:paraId="5BC2CFB5" w14:textId="77777777" w:rsidR="003C3210" w:rsidRPr="00DA7383" w:rsidRDefault="003C3210" w:rsidP="00CB2A30">
            <w:pPr>
              <w:jc w:val="both"/>
              <w:rPr>
                <w:szCs w:val="24"/>
              </w:rPr>
            </w:pPr>
          </w:p>
        </w:tc>
        <w:tc>
          <w:tcPr>
            <w:tcW w:w="7541" w:type="dxa"/>
          </w:tcPr>
          <w:p w14:paraId="5BA73210" w14:textId="7F0DDFF7" w:rsidR="003C3210" w:rsidRPr="0038693F" w:rsidRDefault="003C3210" w:rsidP="00BB36E6">
            <w:pPr>
              <w:jc w:val="both"/>
            </w:pPr>
            <w:r w:rsidRPr="00BB36E6">
              <w:t xml:space="preserve">Atsižvelgiant į neigiamą pastarųjų metų patirtį įgyvendinant panašaus pobūdžio projektus, tokius kaip „MVĮ Skaitmeninimas“, kuomet pabaigus įgyvendinti projektą pareiškėjams tenka prievolė pakartotinai įrodinėti projekto biudžeto pagrįstumą po patirtų ir apmokėtų išlaidų, nors įsigyjamų paslaugų apimtis ir pobūdis nesiskiria nuo agentūros vertinimo metu patvirtinto komercinio pasiūlymo. Susidaranti situacija prieštarauja ne tik viešai iškeltam LR Ekonomikos ir inovacijų ministerijos tikslui mažinti verslui tenkančią administracinę/biurokratinę naštą, bet ir LR viešojo administravimo principams. Siūlome aprašo 5.1.14.4 punkte aiškiai nurodyti, kad dokumentai, pagrindžiantys projekto biudžeto pagrįstumą yra vertinami </w:t>
            </w:r>
            <w:r w:rsidRPr="00BB36E6">
              <w:rPr>
                <w:b/>
                <w:bCs/>
              </w:rPr>
              <w:t>tik PĮP vertinimo metu</w:t>
            </w:r>
            <w:r w:rsidRPr="00BB36E6">
              <w:t> (ir administruojančioji institucija neturėtų pakartotinai vertinti projekto biudžeto pagrįstumo, tokio kaip projektui skirtų programavimo valandų kiekis ir pan., nebent keistųsi numatomų įsigyti paslaugų pobūdis ir/ar apimtis).</w:t>
            </w:r>
          </w:p>
        </w:tc>
        <w:tc>
          <w:tcPr>
            <w:tcW w:w="5103" w:type="dxa"/>
          </w:tcPr>
          <w:p w14:paraId="4B551905" w14:textId="77777777" w:rsidR="003C3210" w:rsidRDefault="003C3210" w:rsidP="00CB2A30">
            <w:pPr>
              <w:jc w:val="both"/>
              <w:rPr>
                <w:szCs w:val="24"/>
              </w:rPr>
            </w:pPr>
            <w:r>
              <w:rPr>
                <w:szCs w:val="24"/>
              </w:rPr>
              <w:t xml:space="preserve">Neatsižvelgta. </w:t>
            </w:r>
          </w:p>
          <w:p w14:paraId="38386B73" w14:textId="515207D3" w:rsidR="003C3210" w:rsidRPr="003A2203" w:rsidRDefault="003C3210" w:rsidP="00CB2A30">
            <w:pPr>
              <w:jc w:val="both"/>
              <w:rPr>
                <w:szCs w:val="24"/>
              </w:rPr>
            </w:pPr>
            <w:r>
              <w:rPr>
                <w:szCs w:val="24"/>
              </w:rPr>
              <w:t>Pastaboje minima situacija susidarė dėl audito metu gautų pastebėjimų ir jų pagrindu atlikti papildomi vertinimai. Todėl administruojančioji institucija tokiais atvejais vykdo audito rekomendacijas.</w:t>
            </w:r>
            <w:r w:rsidR="000E3875">
              <w:rPr>
                <w:szCs w:val="24"/>
              </w:rPr>
              <w:t xml:space="preserve"> </w:t>
            </w:r>
            <w:r w:rsidR="000E3875">
              <w:t>A</w:t>
            </w:r>
            <w:r w:rsidR="000E3875" w:rsidRPr="00BB36E6">
              <w:t>dministruojančioji institucija</w:t>
            </w:r>
            <w:r w:rsidR="000E3875">
              <w:t xml:space="preserve"> privalo tiek PĮP vertinimo, tiek projekto administravimo metu pakartotinai įvertinti projekto biudžeto pagrįstumą, jeigu kyla įtarimas dėl faktiškai atliktų darbų apimčių ir pan. </w:t>
            </w:r>
          </w:p>
        </w:tc>
      </w:tr>
      <w:tr w:rsidR="003C3210" w:rsidRPr="00DA7383" w14:paraId="59B097CB" w14:textId="77777777" w:rsidTr="00187A06">
        <w:trPr>
          <w:trHeight w:val="549"/>
        </w:trPr>
        <w:tc>
          <w:tcPr>
            <w:tcW w:w="567" w:type="dxa"/>
          </w:tcPr>
          <w:p w14:paraId="07B7D5EA" w14:textId="77777777" w:rsidR="003C3210" w:rsidRPr="0038693F" w:rsidRDefault="003C3210" w:rsidP="00CB2A30">
            <w:pPr>
              <w:jc w:val="both"/>
              <w:rPr>
                <w:bCs/>
                <w:szCs w:val="24"/>
              </w:rPr>
            </w:pPr>
          </w:p>
        </w:tc>
        <w:tc>
          <w:tcPr>
            <w:tcW w:w="1560" w:type="dxa"/>
            <w:vMerge/>
          </w:tcPr>
          <w:p w14:paraId="329619F2" w14:textId="77777777" w:rsidR="003C3210" w:rsidRPr="00DA7383" w:rsidRDefault="003C3210" w:rsidP="00CB2A30">
            <w:pPr>
              <w:jc w:val="both"/>
              <w:rPr>
                <w:szCs w:val="24"/>
              </w:rPr>
            </w:pPr>
          </w:p>
        </w:tc>
        <w:tc>
          <w:tcPr>
            <w:tcW w:w="7541" w:type="dxa"/>
          </w:tcPr>
          <w:p w14:paraId="436E2BA3" w14:textId="3213612D" w:rsidR="003C3210" w:rsidRPr="00BB36E6" w:rsidRDefault="003C3210" w:rsidP="00BB36E6">
            <w:pPr>
              <w:jc w:val="both"/>
            </w:pPr>
            <w:r w:rsidRPr="00BB36E6">
              <w:t>Atsižvelgiant į tai, kad šio projekto išlaidos, tikėtina, bus patiriamos vienkartiniu pagrindu, t.</w:t>
            </w:r>
            <w:r>
              <w:t xml:space="preserve"> </w:t>
            </w:r>
            <w:r w:rsidRPr="00BB36E6">
              <w:t>y. perkami DI sprendimai/programinė įranga ir pan. gali sukelti didelius vienkartinius finansinius iššūkius dėl šiame sektoriuje vyraujančių aukštų paslaugų kainų, siūlome padidinti Aprašo 11.4 punkte nurodomą didžiausią galimą projekto finansuojamąją dalį iki 80 procentų visų tinkamų finansuoti projekto išlaidų</w:t>
            </w:r>
            <w:r>
              <w:t>.</w:t>
            </w:r>
          </w:p>
        </w:tc>
        <w:tc>
          <w:tcPr>
            <w:tcW w:w="5103" w:type="dxa"/>
          </w:tcPr>
          <w:p w14:paraId="126BA7B8" w14:textId="5A3F6987" w:rsidR="003C3210" w:rsidRDefault="003C3210" w:rsidP="00187A06">
            <w:pPr>
              <w:tabs>
                <w:tab w:val="left" w:pos="458"/>
                <w:tab w:val="left" w:pos="595"/>
                <w:tab w:val="left" w:pos="1028"/>
              </w:tabs>
              <w:ind w:left="34"/>
              <w:contextualSpacing/>
              <w:jc w:val="both"/>
              <w:rPr>
                <w:szCs w:val="24"/>
              </w:rPr>
            </w:pPr>
            <w:r>
              <w:rPr>
                <w:szCs w:val="24"/>
              </w:rPr>
              <w:t>Neatsižvelgta.</w:t>
            </w:r>
          </w:p>
          <w:p w14:paraId="748CD411" w14:textId="1AADA3A5" w:rsidR="003C3210" w:rsidRPr="003A2203" w:rsidRDefault="003C3210" w:rsidP="00187A06">
            <w:pPr>
              <w:tabs>
                <w:tab w:val="left" w:pos="458"/>
                <w:tab w:val="left" w:pos="595"/>
                <w:tab w:val="left" w:pos="1028"/>
              </w:tabs>
              <w:ind w:left="34"/>
              <w:contextualSpacing/>
              <w:jc w:val="both"/>
              <w:rPr>
                <w:szCs w:val="24"/>
              </w:rPr>
            </w:pPr>
            <w:r>
              <w:rPr>
                <w:szCs w:val="24"/>
              </w:rPr>
              <w:t xml:space="preserve">Šios veiklos aprašymas viešai pristatytas dar 2024 m. birželyje ir jau tada buvo indikuojama, kad šioje veikloje finansavimo intensyvumas sieks iki 50 proc., todėl atitinkamai išlaidos galėjo būti planuojamos. Taip pat atkreiptinas dėmesys, kad Sostinės regione finansavimo intensyvumas negali būti didesnis remiantis </w:t>
            </w:r>
            <w:r w:rsidRPr="00E25096">
              <w:rPr>
                <w:szCs w:val="24"/>
              </w:rPr>
              <w:t>2021 m. birželio 24 d. Europos Parlamento ir Tarybos reglament</w:t>
            </w:r>
            <w:r>
              <w:rPr>
                <w:szCs w:val="24"/>
              </w:rPr>
              <w:t>o</w:t>
            </w:r>
            <w:r w:rsidRPr="00E25096">
              <w:rPr>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w:t>
            </w:r>
            <w:r w:rsidRPr="00E25096">
              <w:rPr>
                <w:szCs w:val="24"/>
              </w:rPr>
              <w:t xml:space="preserve"> su paskutiniais pakeitimais, padarytais 202</w:t>
            </w:r>
            <w:r w:rsidRPr="00727B50">
              <w:rPr>
                <w:szCs w:val="24"/>
              </w:rPr>
              <w:t>4</w:t>
            </w:r>
            <w:r w:rsidRPr="00E25096">
              <w:rPr>
                <w:szCs w:val="24"/>
              </w:rPr>
              <w:t xml:space="preserve"> m. vasario 29 d. Europos Parlamento ir Tarybos reglamentu (ES) 2024/795</w:t>
            </w:r>
            <w:r>
              <w:rPr>
                <w:szCs w:val="24"/>
              </w:rPr>
              <w:t>, nuostatomis.</w:t>
            </w:r>
          </w:p>
        </w:tc>
      </w:tr>
      <w:tr w:rsidR="003C3210" w:rsidRPr="00DA7383" w14:paraId="057335E7" w14:textId="77777777" w:rsidTr="00187A06">
        <w:trPr>
          <w:trHeight w:val="549"/>
        </w:trPr>
        <w:tc>
          <w:tcPr>
            <w:tcW w:w="567" w:type="dxa"/>
          </w:tcPr>
          <w:p w14:paraId="5D4DC3F4" w14:textId="599A5404" w:rsidR="003C3210" w:rsidRPr="003C3210" w:rsidRDefault="003C3210" w:rsidP="003C3210">
            <w:pPr>
              <w:rPr>
                <w:bCs/>
                <w:szCs w:val="24"/>
              </w:rPr>
            </w:pPr>
            <w:r>
              <w:rPr>
                <w:bCs/>
                <w:szCs w:val="24"/>
              </w:rPr>
              <w:t>2.</w:t>
            </w:r>
          </w:p>
        </w:tc>
        <w:tc>
          <w:tcPr>
            <w:tcW w:w="1560" w:type="dxa"/>
          </w:tcPr>
          <w:p w14:paraId="0B634574" w14:textId="6B83359E" w:rsidR="003C3210" w:rsidRPr="00DA7383" w:rsidRDefault="003C3210" w:rsidP="00CB2A30">
            <w:pPr>
              <w:jc w:val="both"/>
              <w:rPr>
                <w:szCs w:val="24"/>
              </w:rPr>
            </w:pPr>
            <w:r>
              <w:rPr>
                <w:szCs w:val="24"/>
              </w:rPr>
              <w:t>Fizinis asmuo</w:t>
            </w:r>
          </w:p>
        </w:tc>
        <w:tc>
          <w:tcPr>
            <w:tcW w:w="7541" w:type="dxa"/>
          </w:tcPr>
          <w:p w14:paraId="1D76307A" w14:textId="77777777" w:rsidR="005D2F65" w:rsidRDefault="005D2F65" w:rsidP="005D2F65">
            <w:pPr>
              <w:numPr>
                <w:ilvl w:val="0"/>
                <w:numId w:val="24"/>
              </w:numPr>
              <w:jc w:val="both"/>
              <w:rPr>
                <w:color w:val="000000"/>
              </w:rPr>
            </w:pPr>
            <w:r>
              <w:rPr>
                <w:color w:val="000000"/>
              </w:rPr>
              <w:t xml:space="preserve">prioritetiniai balai. šita vieta bloga, nes nėra esminio išskirtinumo tarp </w:t>
            </w:r>
            <w:proofErr w:type="spellStart"/>
            <w:r>
              <w:rPr>
                <w:color w:val="000000"/>
              </w:rPr>
              <w:t>projekų</w:t>
            </w:r>
            <w:proofErr w:type="spellEnd"/>
            <w:r>
              <w:rPr>
                <w:color w:val="000000"/>
              </w:rPr>
              <w:t xml:space="preserve"> ir pareiškėjų. </w:t>
            </w:r>
            <w:proofErr w:type="spellStart"/>
            <w:r>
              <w:rPr>
                <w:color w:val="000000"/>
              </w:rPr>
              <w:t>t.y</w:t>
            </w:r>
            <w:proofErr w:type="spellEnd"/>
            <w:r>
              <w:rPr>
                <w:color w:val="000000"/>
              </w:rPr>
              <w:t>. pvz.</w:t>
            </w:r>
          </w:p>
          <w:p w14:paraId="5A2E7396" w14:textId="77777777" w:rsidR="005D2F65" w:rsidRDefault="005D2F65" w:rsidP="005D2F65">
            <w:pPr>
              <w:ind w:left="720"/>
              <w:jc w:val="both"/>
              <w:rPr>
                <w:color w:val="000000"/>
              </w:rPr>
            </w:pPr>
            <w:r>
              <w:rPr>
                <w:color w:val="000000"/>
              </w:rPr>
              <w:t xml:space="preserve">3 kriterijus (40 balų viso) ir gauni iš kašto jei iš esmės atitinki DI taikymo </w:t>
            </w:r>
            <w:proofErr w:type="spellStart"/>
            <w:r>
              <w:rPr>
                <w:color w:val="000000"/>
              </w:rPr>
              <w:t>papiubrėžimą</w:t>
            </w:r>
            <w:proofErr w:type="spellEnd"/>
            <w:r>
              <w:rPr>
                <w:color w:val="000000"/>
              </w:rPr>
              <w:t>, ne itin logiška</w:t>
            </w:r>
          </w:p>
          <w:p w14:paraId="43153555" w14:textId="77777777" w:rsidR="005D2F65" w:rsidRDefault="005D2F65" w:rsidP="005D2F65">
            <w:pPr>
              <w:ind w:left="720"/>
              <w:jc w:val="both"/>
              <w:rPr>
                <w:color w:val="000000"/>
              </w:rPr>
            </w:pPr>
            <w:r>
              <w:rPr>
                <w:color w:val="000000"/>
              </w:rPr>
              <w:t>4 kriterijus (30 balų viso) - skatinami tik pažengę, kas kažin ar teisinga ignoruoti ir kitus</w:t>
            </w:r>
          </w:p>
          <w:p w14:paraId="1FABD0AD" w14:textId="77777777" w:rsidR="005D2F65" w:rsidRDefault="005D2F65" w:rsidP="005D2F65">
            <w:pPr>
              <w:numPr>
                <w:ilvl w:val="0"/>
                <w:numId w:val="24"/>
              </w:numPr>
              <w:jc w:val="both"/>
              <w:rPr>
                <w:color w:val="000000"/>
              </w:rPr>
            </w:pPr>
            <w:r>
              <w:rPr>
                <w:color w:val="000000"/>
              </w:rPr>
              <w:t>5 kriterijus (30 balų viso) - iš esmės tik vienas būdas konkuruoti - susimažinti biudžetą.</w:t>
            </w:r>
          </w:p>
          <w:p w14:paraId="1D714BAD" w14:textId="77777777" w:rsidR="005D2F65" w:rsidRDefault="005D2F65" w:rsidP="005D2F65">
            <w:pPr>
              <w:numPr>
                <w:ilvl w:val="0"/>
                <w:numId w:val="24"/>
              </w:numPr>
              <w:jc w:val="both"/>
              <w:rPr>
                <w:color w:val="000000"/>
              </w:rPr>
            </w:pPr>
            <w:r>
              <w:rPr>
                <w:color w:val="000000"/>
              </w:rPr>
              <w:t xml:space="preserve">balai manyčiau turėtų būti duodami arba už įsipareigojimus, kurių čia nėra. siūlymas DN, apyvartos augimas etc. suprantant iššūkį dėl to kad sudėtinga tai susieti su įrankių diegimu tai turėtų būti gal ir kažkokie kiti </w:t>
            </w:r>
            <w:proofErr w:type="spellStart"/>
            <w:r>
              <w:rPr>
                <w:color w:val="000000"/>
              </w:rPr>
              <w:t>t.y</w:t>
            </w:r>
            <w:proofErr w:type="spellEnd"/>
            <w:r>
              <w:rPr>
                <w:color w:val="000000"/>
              </w:rPr>
              <w:t xml:space="preserve">. </w:t>
            </w:r>
            <w:proofErr w:type="spellStart"/>
            <w:r>
              <w:rPr>
                <w:color w:val="000000"/>
              </w:rPr>
              <w:t>pvz</w:t>
            </w:r>
            <w:proofErr w:type="spellEnd"/>
            <w:r>
              <w:rPr>
                <w:color w:val="000000"/>
              </w:rPr>
              <w:t xml:space="preserve"> iš pačio taikymo specifikos ar projekto išskirtinumo, ką būtų galima matuoti dar vertinimo metu ir neįsivelti įsipareigojimų pinkles  žr. kitą punktą</w:t>
            </w:r>
          </w:p>
          <w:p w14:paraId="1E70E29F" w14:textId="77777777" w:rsidR="005D2F65" w:rsidRDefault="005D2F65" w:rsidP="005D2F65">
            <w:pPr>
              <w:numPr>
                <w:ilvl w:val="0"/>
                <w:numId w:val="24"/>
              </w:numPr>
              <w:jc w:val="both"/>
              <w:rPr>
                <w:color w:val="000000"/>
              </w:rPr>
            </w:pPr>
            <w:r>
              <w:rPr>
                <w:color w:val="000000"/>
              </w:rPr>
              <w:lastRenderedPageBreak/>
              <w:t xml:space="preserve">Apie taikymą, o tiksliau 11.6.1 ir 11.6.2 daugelis DI modelių yra </w:t>
            </w:r>
            <w:proofErr w:type="spellStart"/>
            <w:r>
              <w:rPr>
                <w:color w:val="000000"/>
              </w:rPr>
              <w:t>komercinami</w:t>
            </w:r>
            <w:proofErr w:type="spellEnd"/>
            <w:r>
              <w:rPr>
                <w:color w:val="000000"/>
              </w:rPr>
              <w:t xml:space="preserve"> kaip prenumeratos arba per vartojimą, nes :</w:t>
            </w:r>
          </w:p>
          <w:p w14:paraId="6BB2BF22" w14:textId="77777777" w:rsidR="005D2F65" w:rsidRDefault="005D2F65" w:rsidP="005D2F65">
            <w:pPr>
              <w:ind w:left="720"/>
              <w:jc w:val="both"/>
              <w:rPr>
                <w:color w:val="000000"/>
              </w:rPr>
            </w:pPr>
            <w:r>
              <w:rPr>
                <w:color w:val="000000"/>
              </w:rPr>
              <w:t xml:space="preserve">- reikalinga specializuota infrastruktūra kurią diegti galutiniam vartotojui brangu ir kurios vartotojas nesidiegia nes tai nelogiška kainos atveju bei </w:t>
            </w:r>
            <w:proofErr w:type="spellStart"/>
            <w:r>
              <w:rPr>
                <w:color w:val="000000"/>
              </w:rPr>
              <w:t>cloud</w:t>
            </w:r>
            <w:proofErr w:type="spellEnd"/>
            <w:r>
              <w:rPr>
                <w:color w:val="000000"/>
              </w:rPr>
              <w:t xml:space="preserve"> dalis leidžia turėti nuolatinius atnaujinimus. dėl to gaunasi programinės įrangos nuoma </w:t>
            </w:r>
            <w:proofErr w:type="spellStart"/>
            <w:r>
              <w:rPr>
                <w:color w:val="000000"/>
              </w:rPr>
              <w:t>t.y</w:t>
            </w:r>
            <w:proofErr w:type="spellEnd"/>
            <w:r>
              <w:rPr>
                <w:color w:val="000000"/>
              </w:rPr>
              <w:t xml:space="preserve">. 11.5.2 kas iš esmės prieštarauja </w:t>
            </w:r>
            <w:proofErr w:type="spellStart"/>
            <w:r>
              <w:rPr>
                <w:color w:val="000000"/>
              </w:rPr>
              <w:t>ka</w:t>
            </w:r>
            <w:proofErr w:type="spellEnd"/>
            <w:r>
              <w:rPr>
                <w:color w:val="000000"/>
              </w:rPr>
              <w:t xml:space="preserve"> galima ir kone. be to bet kuriuo atveju dėl infrastruktūros bus nuoma arba </w:t>
            </w:r>
            <w:proofErr w:type="spellStart"/>
            <w:r>
              <w:rPr>
                <w:color w:val="000000"/>
              </w:rPr>
              <w:t>subscrition</w:t>
            </w:r>
            <w:proofErr w:type="spellEnd"/>
            <w:r>
              <w:rPr>
                <w:color w:val="000000"/>
              </w:rPr>
              <w:t xml:space="preserve">. jei norima išimti bendruosius modelius tai taip ir rašyti kad bendrųjų platformų nuoma tokiu kaip </w:t>
            </w:r>
            <w:proofErr w:type="spellStart"/>
            <w:r>
              <w:rPr>
                <w:color w:val="000000"/>
              </w:rPr>
              <w:t>chatgpt</w:t>
            </w:r>
            <w:proofErr w:type="spellEnd"/>
            <w:r>
              <w:rPr>
                <w:color w:val="000000"/>
              </w:rPr>
              <w:t xml:space="preserve"> netinkama, bet </w:t>
            </w:r>
            <w:proofErr w:type="spellStart"/>
            <w:r>
              <w:rPr>
                <w:color w:val="000000"/>
              </w:rPr>
              <w:t>SaaS</w:t>
            </w:r>
            <w:proofErr w:type="spellEnd"/>
            <w:r>
              <w:rPr>
                <w:color w:val="000000"/>
              </w:rPr>
              <w:t xml:space="preserve"> modelio kaip po tokio nedrausti, nes tai turi būti 99% visų taikymų realybėje</w:t>
            </w:r>
          </w:p>
          <w:p w14:paraId="435B5F3B" w14:textId="77777777" w:rsidR="005D2F65" w:rsidRDefault="005D2F65" w:rsidP="005D2F65">
            <w:pPr>
              <w:numPr>
                <w:ilvl w:val="0"/>
                <w:numId w:val="25"/>
              </w:numPr>
              <w:jc w:val="both"/>
              <w:rPr>
                <w:color w:val="000000"/>
              </w:rPr>
            </w:pPr>
            <w:r>
              <w:rPr>
                <w:color w:val="000000"/>
              </w:rPr>
              <w:t xml:space="preserve">- išlaidose įdėti rangą, nes jei bus lokalūs modeliai su </w:t>
            </w:r>
            <w:proofErr w:type="spellStart"/>
            <w:r>
              <w:rPr>
                <w:color w:val="000000"/>
              </w:rPr>
              <w:t>hw</w:t>
            </w:r>
            <w:proofErr w:type="spellEnd"/>
            <w:r>
              <w:rPr>
                <w:color w:val="000000"/>
              </w:rPr>
              <w:t xml:space="preserve"> tai </w:t>
            </w:r>
            <w:proofErr w:type="spellStart"/>
            <w:r>
              <w:rPr>
                <w:color w:val="000000"/>
              </w:rPr>
              <w:t>max</w:t>
            </w:r>
            <w:proofErr w:type="spellEnd"/>
            <w:r>
              <w:rPr>
                <w:color w:val="000000"/>
              </w:rPr>
              <w:t xml:space="preserve"> suma nebūtų riba, tik rizika tokia kad greitai sensta, tai jei rizika nepriimtina - nenaudoti siūlymo</w:t>
            </w:r>
          </w:p>
          <w:p w14:paraId="23613938" w14:textId="77777777" w:rsidR="005D2F65" w:rsidRDefault="005D2F65" w:rsidP="005D2F65">
            <w:pPr>
              <w:numPr>
                <w:ilvl w:val="0"/>
                <w:numId w:val="25"/>
              </w:numPr>
              <w:jc w:val="both"/>
              <w:rPr>
                <w:color w:val="000000"/>
              </w:rPr>
            </w:pPr>
            <w:r>
              <w:rPr>
                <w:color w:val="000000"/>
              </w:rPr>
              <w:t xml:space="preserve">- 11.6.1 ten nelogiškai formuluota kad negalima administracinėms, siūlymas galima bet mažiau balų. be to kaip išvardinta </w:t>
            </w:r>
            <w:proofErr w:type="spellStart"/>
            <w:r>
              <w:rPr>
                <w:color w:val="000000"/>
              </w:rPr>
              <w:t>pvz</w:t>
            </w:r>
            <w:proofErr w:type="spellEnd"/>
            <w:r>
              <w:rPr>
                <w:color w:val="000000"/>
              </w:rPr>
              <w:t xml:space="preserve"> IT gali būti administracinės, o gali būti gamybinės priklausomai nuo įmonės veiklos pvz. programuotojai. pardavimai (bendravimas su klientais, pasiūlymo formulavimas pridėtiniu verčių paaiškinimas) galima laikyti </w:t>
            </w:r>
            <w:proofErr w:type="spellStart"/>
            <w:r>
              <w:rPr>
                <w:color w:val="000000"/>
              </w:rPr>
              <w:t>adminstracinėmis</w:t>
            </w:r>
            <w:proofErr w:type="spellEnd"/>
            <w:r>
              <w:rPr>
                <w:color w:val="000000"/>
              </w:rPr>
              <w:t xml:space="preserve"> ar prilyginti rinkodarai platesne prasme, tačiau tai bet kurio verslo esminė dalis, todėl atsiranda pilka zona. HR gali būti kad verslas personalo nuoma, tada HR valdymas yra “gamyba” - siūlymas šią vietą perskaičiuoti per balus yra prioritetas ir ne, nes administracinėje dalyje gali būti daug naudingų taikymų taip pat</w:t>
            </w:r>
          </w:p>
          <w:p w14:paraId="63DCEA90" w14:textId="77777777" w:rsidR="005D2F65" w:rsidRDefault="005D2F65" w:rsidP="005D2F65">
            <w:pPr>
              <w:numPr>
                <w:ilvl w:val="0"/>
                <w:numId w:val="25"/>
              </w:numPr>
              <w:jc w:val="both"/>
              <w:rPr>
                <w:color w:val="000000"/>
              </w:rPr>
            </w:pPr>
            <w:r>
              <w:rPr>
                <w:color w:val="000000"/>
              </w:rPr>
              <w:t xml:space="preserve">draudimas administracinių sukels “komą” agentūrai, ypač PV ir ekspertams nes tikrai bus interpretavimų </w:t>
            </w:r>
            <w:proofErr w:type="spellStart"/>
            <w:r>
              <w:rPr>
                <w:color w:val="000000"/>
              </w:rPr>
              <w:t>t.y</w:t>
            </w:r>
            <w:proofErr w:type="spellEnd"/>
            <w:r>
              <w:rPr>
                <w:color w:val="000000"/>
              </w:rPr>
              <w:t>. jei tavo DI naudos dokumentus jis bus netinkamas, nors valdysi kažkokį kitą procesą</w:t>
            </w:r>
          </w:p>
          <w:p w14:paraId="2D1F929F" w14:textId="77777777" w:rsidR="005D2F65" w:rsidRDefault="005D2F65" w:rsidP="005D2F65">
            <w:pPr>
              <w:jc w:val="both"/>
              <w:rPr>
                <w:color w:val="000000"/>
              </w:rPr>
            </w:pPr>
            <w:r>
              <w:rPr>
                <w:color w:val="000000"/>
              </w:rPr>
              <w:t xml:space="preserve">taip kaip surašyta dėl taikymo atrodo kad visko negalima o tas kas galima nesuprantama. siūlymas pateikti ir pvz. ir padiskutuoti viduje ar čia viskas </w:t>
            </w:r>
            <w:proofErr w:type="spellStart"/>
            <w:r>
              <w:rPr>
                <w:color w:val="000000"/>
              </w:rPr>
              <w:t>ok</w:t>
            </w:r>
            <w:proofErr w:type="spellEnd"/>
            <w:r>
              <w:rPr>
                <w:color w:val="000000"/>
              </w:rPr>
              <w:t xml:space="preserve"> ir praeina filtrus nes dabar kaip surašyta prieštarauja galima/negalima </w:t>
            </w:r>
            <w:proofErr w:type="spellStart"/>
            <w:r>
              <w:rPr>
                <w:color w:val="000000"/>
              </w:rPr>
              <w:t>ty</w:t>
            </w:r>
            <w:proofErr w:type="spellEnd"/>
            <w:r>
              <w:rPr>
                <w:color w:val="000000"/>
              </w:rPr>
              <w:t xml:space="preserve"> galima dėti į abi dalis.</w:t>
            </w:r>
          </w:p>
          <w:p w14:paraId="2F489E5A" w14:textId="77777777" w:rsidR="005D2F65" w:rsidRDefault="005D2F65" w:rsidP="005D2F65">
            <w:pPr>
              <w:jc w:val="both"/>
              <w:rPr>
                <w:color w:val="000000"/>
              </w:rPr>
            </w:pPr>
          </w:p>
          <w:p w14:paraId="7A6C367F" w14:textId="7FE04EF7" w:rsidR="003C3210" w:rsidRPr="005D2F65" w:rsidRDefault="005D2F65" w:rsidP="00BB36E6">
            <w:pPr>
              <w:jc w:val="both"/>
              <w:rPr>
                <w:color w:val="000000"/>
              </w:rPr>
            </w:pPr>
            <w:r>
              <w:rPr>
                <w:color w:val="000000"/>
              </w:rPr>
              <w:lastRenderedPageBreak/>
              <w:t xml:space="preserve">netiesioginės čia gal ir nėra reikalingos, nes iš esmės administracinių įsikišimų daug nebus </w:t>
            </w:r>
            <w:proofErr w:type="spellStart"/>
            <w:r>
              <w:rPr>
                <w:color w:val="000000"/>
              </w:rPr>
              <w:t>ty</w:t>
            </w:r>
            <w:proofErr w:type="spellEnd"/>
            <w:r>
              <w:rPr>
                <w:color w:val="000000"/>
              </w:rPr>
              <w:t xml:space="preserve"> pirkimas, kontraktas ir vykdymas. priemonėje turėtų būti ne kuriama o diegiama. dėl to siūlymas palikti tik pirkimo sutarties kaštus.</w:t>
            </w:r>
          </w:p>
        </w:tc>
        <w:tc>
          <w:tcPr>
            <w:tcW w:w="5103" w:type="dxa"/>
          </w:tcPr>
          <w:p w14:paraId="61791084" w14:textId="654435CB" w:rsidR="00CB6EE8" w:rsidRDefault="00A06C24" w:rsidP="00CB6EE8">
            <w:pPr>
              <w:tabs>
                <w:tab w:val="left" w:pos="458"/>
                <w:tab w:val="left" w:pos="595"/>
                <w:tab w:val="left" w:pos="1028"/>
              </w:tabs>
              <w:ind w:left="34"/>
              <w:contextualSpacing/>
              <w:jc w:val="both"/>
              <w:rPr>
                <w:szCs w:val="24"/>
              </w:rPr>
            </w:pPr>
            <w:r>
              <w:rPr>
                <w:szCs w:val="24"/>
              </w:rPr>
              <w:lastRenderedPageBreak/>
              <w:t>Iš dalies atsižvelgta, patikslintas 11.6.2 papunktis</w:t>
            </w:r>
            <w:r w:rsidR="002D0DA5">
              <w:rPr>
                <w:szCs w:val="24"/>
              </w:rPr>
              <w:t>, žr. atsakymą į pirmą pastabą.</w:t>
            </w:r>
          </w:p>
          <w:p w14:paraId="31DC2BDA" w14:textId="77777777" w:rsidR="00CB6EE8" w:rsidRDefault="00CB6EE8" w:rsidP="00CB6EE8">
            <w:pPr>
              <w:tabs>
                <w:tab w:val="left" w:pos="458"/>
                <w:tab w:val="left" w:pos="595"/>
                <w:tab w:val="left" w:pos="1028"/>
              </w:tabs>
              <w:ind w:left="34"/>
              <w:contextualSpacing/>
              <w:jc w:val="both"/>
              <w:rPr>
                <w:bCs/>
              </w:rPr>
            </w:pPr>
            <w:r>
              <w:rPr>
                <w:szCs w:val="24"/>
              </w:rPr>
              <w:t xml:space="preserve">Atkreiptinas dėmesys, kad šios pastabos pateiktos po nustatyto viešo aptarimo termino ir didžioji dalis susijusios su projektų atrankos kriterijais, kurie, kaip minėta aukščiau, yra patvirtinti </w:t>
            </w:r>
            <w:r w:rsidRPr="00374FDC">
              <w:rPr>
                <w:bCs/>
              </w:rPr>
              <w:t>2025</w:t>
            </w:r>
            <w:r>
              <w:rPr>
                <w:bCs/>
              </w:rPr>
              <w:t xml:space="preserve"> m. spalio </w:t>
            </w:r>
            <w:r w:rsidRPr="00374FDC">
              <w:rPr>
                <w:bCs/>
              </w:rPr>
              <w:t xml:space="preserve">22 </w:t>
            </w:r>
            <w:r>
              <w:rPr>
                <w:bCs/>
              </w:rPr>
              <w:t xml:space="preserve">d. </w:t>
            </w:r>
            <w:r w:rsidRPr="009F16C3">
              <w:rPr>
                <w:szCs w:val="24"/>
              </w:rPr>
              <w:t xml:space="preserve">2021–2027 metų Europos </w:t>
            </w:r>
            <w:r>
              <w:rPr>
                <w:szCs w:val="24"/>
              </w:rPr>
              <w:t>S</w:t>
            </w:r>
            <w:r w:rsidRPr="009F16C3">
              <w:rPr>
                <w:szCs w:val="24"/>
              </w:rPr>
              <w:t>ąjungos fondų investicijų programos stebėsenos komiteto posėdžio</w:t>
            </w:r>
            <w:r>
              <w:rPr>
                <w:szCs w:val="24"/>
              </w:rPr>
              <w:t xml:space="preserve"> protokoliniu sprendimu</w:t>
            </w:r>
            <w:r w:rsidRPr="00374FDC">
              <w:rPr>
                <w:bCs/>
              </w:rPr>
              <w:t xml:space="preserve"> Nr. 46P-6 (31)</w:t>
            </w:r>
            <w:r>
              <w:rPr>
                <w:bCs/>
              </w:rPr>
              <w:t>. Todėl tikslinti, keisti juos šiame etape nėra galimybių.</w:t>
            </w:r>
          </w:p>
          <w:p w14:paraId="351DC275" w14:textId="77777777" w:rsidR="009F6324" w:rsidRDefault="009F6324" w:rsidP="00CB6EE8">
            <w:pPr>
              <w:tabs>
                <w:tab w:val="left" w:pos="458"/>
                <w:tab w:val="left" w:pos="595"/>
                <w:tab w:val="left" w:pos="1028"/>
              </w:tabs>
              <w:ind w:left="34"/>
              <w:contextualSpacing/>
              <w:jc w:val="both"/>
              <w:rPr>
                <w:bCs/>
              </w:rPr>
            </w:pPr>
          </w:p>
          <w:p w14:paraId="0346F91C" w14:textId="04D09593" w:rsidR="009F6324" w:rsidRDefault="00A06C24" w:rsidP="00CB6EE8">
            <w:pPr>
              <w:tabs>
                <w:tab w:val="left" w:pos="458"/>
                <w:tab w:val="left" w:pos="595"/>
                <w:tab w:val="left" w:pos="1028"/>
              </w:tabs>
              <w:ind w:left="34"/>
              <w:contextualSpacing/>
              <w:jc w:val="both"/>
              <w:rPr>
                <w:bCs/>
              </w:rPr>
            </w:pPr>
            <w:r>
              <w:rPr>
                <w:bCs/>
              </w:rPr>
              <w:lastRenderedPageBreak/>
              <w:t>K</w:t>
            </w:r>
            <w:r w:rsidR="009F6324">
              <w:rPr>
                <w:bCs/>
              </w:rPr>
              <w:t>vietimas yra skirtas tik pramonės įmonėms, todėl galima bus diegtis sprendimus</w:t>
            </w:r>
            <w:r>
              <w:rPr>
                <w:bCs/>
              </w:rPr>
              <w:t>,</w:t>
            </w:r>
            <w:r w:rsidR="009F6324">
              <w:rPr>
                <w:bCs/>
              </w:rPr>
              <w:t xml:space="preserve"> susijusius tik su gamybine veikla. </w:t>
            </w:r>
          </w:p>
          <w:p w14:paraId="23EA75E8" w14:textId="77777777" w:rsidR="00A06C24" w:rsidRDefault="00A06C24" w:rsidP="00CB6EE8">
            <w:pPr>
              <w:tabs>
                <w:tab w:val="left" w:pos="458"/>
                <w:tab w:val="left" w:pos="595"/>
                <w:tab w:val="left" w:pos="1028"/>
              </w:tabs>
              <w:ind w:left="34"/>
              <w:contextualSpacing/>
              <w:jc w:val="both"/>
              <w:rPr>
                <w:bCs/>
              </w:rPr>
            </w:pPr>
          </w:p>
          <w:p w14:paraId="3EDB8218" w14:textId="1DB91036" w:rsidR="009F6324" w:rsidRPr="009F6324" w:rsidRDefault="009F6324" w:rsidP="009F6324">
            <w:pPr>
              <w:jc w:val="both"/>
              <w:rPr>
                <w:szCs w:val="24"/>
              </w:rPr>
            </w:pPr>
            <w:r w:rsidRPr="009F6324">
              <w:rPr>
                <w:szCs w:val="24"/>
              </w:rPr>
              <w:t>.</w:t>
            </w:r>
          </w:p>
          <w:p w14:paraId="2473B1A8" w14:textId="5B8B5A59" w:rsidR="009F6324" w:rsidRDefault="009F6324" w:rsidP="00CB6EE8">
            <w:pPr>
              <w:tabs>
                <w:tab w:val="left" w:pos="458"/>
                <w:tab w:val="left" w:pos="595"/>
                <w:tab w:val="left" w:pos="1028"/>
              </w:tabs>
              <w:ind w:left="34"/>
              <w:contextualSpacing/>
              <w:jc w:val="both"/>
              <w:rPr>
                <w:szCs w:val="24"/>
              </w:rPr>
            </w:pPr>
          </w:p>
        </w:tc>
      </w:tr>
    </w:tbl>
    <w:p w14:paraId="00AABEA2" w14:textId="77777777" w:rsidR="005C5ECB" w:rsidRPr="00947246" w:rsidRDefault="005C5ECB" w:rsidP="00CB2A30">
      <w:pPr>
        <w:jc w:val="both"/>
        <w:rPr>
          <w:szCs w:val="24"/>
        </w:rPr>
      </w:pPr>
    </w:p>
    <w:sectPr w:rsidR="005C5ECB" w:rsidRPr="00947246" w:rsidSect="003940F3">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C93C" w14:textId="77777777" w:rsidR="00483E9E" w:rsidRDefault="00483E9E" w:rsidP="003940F3">
      <w:r>
        <w:separator/>
      </w:r>
    </w:p>
  </w:endnote>
  <w:endnote w:type="continuationSeparator" w:id="0">
    <w:p w14:paraId="17553045" w14:textId="77777777" w:rsidR="00483E9E" w:rsidRDefault="00483E9E" w:rsidP="003940F3">
      <w:r>
        <w:continuationSeparator/>
      </w:r>
    </w:p>
  </w:endnote>
  <w:endnote w:type="continuationNotice" w:id="1">
    <w:p w14:paraId="64F89089" w14:textId="77777777" w:rsidR="00483E9E" w:rsidRDefault="0048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DCA0" w14:textId="77777777" w:rsidR="00483E9E" w:rsidRDefault="00483E9E" w:rsidP="003940F3">
      <w:r>
        <w:separator/>
      </w:r>
    </w:p>
  </w:footnote>
  <w:footnote w:type="continuationSeparator" w:id="0">
    <w:p w14:paraId="4D535762" w14:textId="77777777" w:rsidR="00483E9E" w:rsidRDefault="00483E9E" w:rsidP="003940F3">
      <w:r>
        <w:continuationSeparator/>
      </w:r>
    </w:p>
  </w:footnote>
  <w:footnote w:type="continuationNotice" w:id="1">
    <w:p w14:paraId="32DC60AE" w14:textId="77777777" w:rsidR="00483E9E" w:rsidRDefault="00483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7B7"/>
    <w:multiLevelType w:val="hybridMultilevel"/>
    <w:tmpl w:val="82A67B6E"/>
    <w:lvl w:ilvl="0" w:tplc="A81473C4">
      <w:start w:val="1"/>
      <w:numFmt w:val="decimal"/>
      <w:lvlText w:val="%1."/>
      <w:lvlJc w:val="left"/>
      <w:pPr>
        <w:ind w:left="720" w:hanging="360"/>
      </w:pPr>
    </w:lvl>
    <w:lvl w:ilvl="1" w:tplc="801AF7C4">
      <w:start w:val="1"/>
      <w:numFmt w:val="lowerLetter"/>
      <w:lvlText w:val="%2."/>
      <w:lvlJc w:val="left"/>
      <w:pPr>
        <w:ind w:left="1440" w:hanging="360"/>
      </w:pPr>
    </w:lvl>
    <w:lvl w:ilvl="2" w:tplc="A8BCC85C">
      <w:start w:val="1"/>
      <w:numFmt w:val="lowerRoman"/>
      <w:lvlText w:val="%3."/>
      <w:lvlJc w:val="right"/>
      <w:pPr>
        <w:ind w:left="2160" w:hanging="180"/>
      </w:pPr>
    </w:lvl>
    <w:lvl w:ilvl="3" w:tplc="E76E1A12">
      <w:start w:val="1"/>
      <w:numFmt w:val="decimal"/>
      <w:lvlText w:val="%4."/>
      <w:lvlJc w:val="left"/>
      <w:pPr>
        <w:ind w:left="2880" w:hanging="360"/>
      </w:pPr>
    </w:lvl>
    <w:lvl w:ilvl="4" w:tplc="96C81506">
      <w:start w:val="1"/>
      <w:numFmt w:val="lowerLetter"/>
      <w:lvlText w:val="%5."/>
      <w:lvlJc w:val="left"/>
      <w:pPr>
        <w:ind w:left="3600" w:hanging="360"/>
      </w:pPr>
    </w:lvl>
    <w:lvl w:ilvl="5" w:tplc="FB0E14E8">
      <w:start w:val="1"/>
      <w:numFmt w:val="lowerRoman"/>
      <w:lvlText w:val="%6."/>
      <w:lvlJc w:val="right"/>
      <w:pPr>
        <w:ind w:left="4320" w:hanging="180"/>
      </w:pPr>
    </w:lvl>
    <w:lvl w:ilvl="6" w:tplc="7A046DE8">
      <w:start w:val="1"/>
      <w:numFmt w:val="decimal"/>
      <w:lvlText w:val="%7."/>
      <w:lvlJc w:val="left"/>
      <w:pPr>
        <w:ind w:left="5040" w:hanging="360"/>
      </w:pPr>
    </w:lvl>
    <w:lvl w:ilvl="7" w:tplc="D65AC394">
      <w:start w:val="1"/>
      <w:numFmt w:val="lowerLetter"/>
      <w:lvlText w:val="%8."/>
      <w:lvlJc w:val="left"/>
      <w:pPr>
        <w:ind w:left="5760" w:hanging="360"/>
      </w:pPr>
    </w:lvl>
    <w:lvl w:ilvl="8" w:tplc="75D83D0E">
      <w:start w:val="1"/>
      <w:numFmt w:val="lowerRoman"/>
      <w:lvlText w:val="%9."/>
      <w:lvlJc w:val="right"/>
      <w:pPr>
        <w:ind w:left="6480" w:hanging="180"/>
      </w:p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B6BCD"/>
    <w:multiLevelType w:val="multilevel"/>
    <w:tmpl w:val="E8489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3B7227D"/>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66545"/>
    <w:multiLevelType w:val="multilevel"/>
    <w:tmpl w:val="BBCAC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50309"/>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8287768"/>
    <w:multiLevelType w:val="hybridMultilevel"/>
    <w:tmpl w:val="51B068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11795E"/>
    <w:multiLevelType w:val="hybridMultilevel"/>
    <w:tmpl w:val="00CE2688"/>
    <w:lvl w:ilvl="0" w:tplc="71D20B7C">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94A3E60"/>
    <w:multiLevelType w:val="hybridMultilevel"/>
    <w:tmpl w:val="38B6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8430E2"/>
    <w:multiLevelType w:val="hybridMultilevel"/>
    <w:tmpl w:val="234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03441A2"/>
    <w:multiLevelType w:val="multilevel"/>
    <w:tmpl w:val="568C8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2683FF5"/>
    <w:multiLevelType w:val="multilevel"/>
    <w:tmpl w:val="D144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193377737">
    <w:abstractNumId w:val="18"/>
  </w:num>
  <w:num w:numId="2" w16cid:durableId="885410026">
    <w:abstractNumId w:val="17"/>
  </w:num>
  <w:num w:numId="3" w16cid:durableId="1562981366">
    <w:abstractNumId w:val="21"/>
  </w:num>
  <w:num w:numId="4" w16cid:durableId="392239668">
    <w:abstractNumId w:val="2"/>
  </w:num>
  <w:num w:numId="5" w16cid:durableId="308630702">
    <w:abstractNumId w:val="4"/>
  </w:num>
  <w:num w:numId="6" w16cid:durableId="2060545454">
    <w:abstractNumId w:val="1"/>
  </w:num>
  <w:num w:numId="7" w16cid:durableId="1447046276">
    <w:abstractNumId w:val="5"/>
  </w:num>
  <w:num w:numId="8" w16cid:durableId="1946957105">
    <w:abstractNumId w:val="9"/>
  </w:num>
  <w:num w:numId="9" w16cid:durableId="861014471">
    <w:abstractNumId w:val="22"/>
  </w:num>
  <w:num w:numId="10" w16cid:durableId="863636958">
    <w:abstractNumId w:val="7"/>
  </w:num>
  <w:num w:numId="11" w16cid:durableId="213858329">
    <w:abstractNumId w:val="23"/>
  </w:num>
  <w:num w:numId="12" w16cid:durableId="1547982564">
    <w:abstractNumId w:val="14"/>
  </w:num>
  <w:num w:numId="13" w16cid:durableId="2051760053">
    <w:abstractNumId w:val="12"/>
  </w:num>
  <w:num w:numId="14" w16cid:durableId="443229702">
    <w:abstractNumId w:val="16"/>
  </w:num>
  <w:num w:numId="15" w16cid:durableId="573585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4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13143">
    <w:abstractNumId w:val="15"/>
  </w:num>
  <w:num w:numId="18" w16cid:durableId="8864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945466">
    <w:abstractNumId w:val="0"/>
  </w:num>
  <w:num w:numId="20" w16cid:durableId="570042958">
    <w:abstractNumId w:val="10"/>
  </w:num>
  <w:num w:numId="21" w16cid:durableId="1261446500">
    <w:abstractNumId w:val="6"/>
  </w:num>
  <w:num w:numId="22" w16cid:durableId="1588347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37742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174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7029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F36"/>
    <w:rsid w:val="00005FAA"/>
    <w:rsid w:val="00007463"/>
    <w:rsid w:val="0001428A"/>
    <w:rsid w:val="00015942"/>
    <w:rsid w:val="00016435"/>
    <w:rsid w:val="00017566"/>
    <w:rsid w:val="000202E8"/>
    <w:rsid w:val="00020CB7"/>
    <w:rsid w:val="00023010"/>
    <w:rsid w:val="000240C4"/>
    <w:rsid w:val="00030D25"/>
    <w:rsid w:val="00030DBB"/>
    <w:rsid w:val="0003188A"/>
    <w:rsid w:val="000325E6"/>
    <w:rsid w:val="00032985"/>
    <w:rsid w:val="00033CEB"/>
    <w:rsid w:val="0003560F"/>
    <w:rsid w:val="00044CAB"/>
    <w:rsid w:val="00046DFE"/>
    <w:rsid w:val="000503C5"/>
    <w:rsid w:val="00050427"/>
    <w:rsid w:val="00053ACF"/>
    <w:rsid w:val="00053D41"/>
    <w:rsid w:val="00055508"/>
    <w:rsid w:val="00060B0B"/>
    <w:rsid w:val="00062328"/>
    <w:rsid w:val="00062518"/>
    <w:rsid w:val="00063152"/>
    <w:rsid w:val="000640C7"/>
    <w:rsid w:val="00066215"/>
    <w:rsid w:val="000671F1"/>
    <w:rsid w:val="00070B21"/>
    <w:rsid w:val="00070ED6"/>
    <w:rsid w:val="00070EF3"/>
    <w:rsid w:val="00074F28"/>
    <w:rsid w:val="00076251"/>
    <w:rsid w:val="00077247"/>
    <w:rsid w:val="00081BC9"/>
    <w:rsid w:val="000844E7"/>
    <w:rsid w:val="000909EB"/>
    <w:rsid w:val="00095A64"/>
    <w:rsid w:val="00095B14"/>
    <w:rsid w:val="00096840"/>
    <w:rsid w:val="00096A65"/>
    <w:rsid w:val="000A0E20"/>
    <w:rsid w:val="000A3FD2"/>
    <w:rsid w:val="000B19E9"/>
    <w:rsid w:val="000B1AF5"/>
    <w:rsid w:val="000B2D7C"/>
    <w:rsid w:val="000B4B61"/>
    <w:rsid w:val="000B7125"/>
    <w:rsid w:val="000C6DCD"/>
    <w:rsid w:val="000D22BB"/>
    <w:rsid w:val="000D2E71"/>
    <w:rsid w:val="000D3EFE"/>
    <w:rsid w:val="000D577D"/>
    <w:rsid w:val="000D748B"/>
    <w:rsid w:val="000E057B"/>
    <w:rsid w:val="000E128C"/>
    <w:rsid w:val="000E1F0C"/>
    <w:rsid w:val="000E275C"/>
    <w:rsid w:val="000E3875"/>
    <w:rsid w:val="000E5A48"/>
    <w:rsid w:val="000E7177"/>
    <w:rsid w:val="000E7A99"/>
    <w:rsid w:val="000F1049"/>
    <w:rsid w:val="000F4E81"/>
    <w:rsid w:val="000F5CE6"/>
    <w:rsid w:val="00102735"/>
    <w:rsid w:val="001030C4"/>
    <w:rsid w:val="00105F91"/>
    <w:rsid w:val="00106571"/>
    <w:rsid w:val="001132AD"/>
    <w:rsid w:val="00115372"/>
    <w:rsid w:val="0011654F"/>
    <w:rsid w:val="00124A1B"/>
    <w:rsid w:val="00143277"/>
    <w:rsid w:val="001445E4"/>
    <w:rsid w:val="00150B26"/>
    <w:rsid w:val="00156FCF"/>
    <w:rsid w:val="00157004"/>
    <w:rsid w:val="001577E4"/>
    <w:rsid w:val="00162289"/>
    <w:rsid w:val="001661A8"/>
    <w:rsid w:val="001705CF"/>
    <w:rsid w:val="00175B04"/>
    <w:rsid w:val="00182879"/>
    <w:rsid w:val="0018373E"/>
    <w:rsid w:val="0018469B"/>
    <w:rsid w:val="00184FC3"/>
    <w:rsid w:val="00186511"/>
    <w:rsid w:val="00187A06"/>
    <w:rsid w:val="0019085C"/>
    <w:rsid w:val="00191782"/>
    <w:rsid w:val="001923DD"/>
    <w:rsid w:val="00194702"/>
    <w:rsid w:val="001A0E47"/>
    <w:rsid w:val="001A5935"/>
    <w:rsid w:val="001C2F60"/>
    <w:rsid w:val="001C65B5"/>
    <w:rsid w:val="001D0FA0"/>
    <w:rsid w:val="001D3C04"/>
    <w:rsid w:val="001D6507"/>
    <w:rsid w:val="001D6F4A"/>
    <w:rsid w:val="001E1992"/>
    <w:rsid w:val="001E4CE7"/>
    <w:rsid w:val="001E6748"/>
    <w:rsid w:val="001E67A5"/>
    <w:rsid w:val="001E754D"/>
    <w:rsid w:val="001E7DBF"/>
    <w:rsid w:val="0020434A"/>
    <w:rsid w:val="0020614F"/>
    <w:rsid w:val="00207E63"/>
    <w:rsid w:val="00211B2A"/>
    <w:rsid w:val="00212ADD"/>
    <w:rsid w:val="00222B62"/>
    <w:rsid w:val="00224286"/>
    <w:rsid w:val="0022435B"/>
    <w:rsid w:val="00227E2E"/>
    <w:rsid w:val="0023024D"/>
    <w:rsid w:val="00233335"/>
    <w:rsid w:val="00233AA1"/>
    <w:rsid w:val="00234AE2"/>
    <w:rsid w:val="002364BE"/>
    <w:rsid w:val="00241069"/>
    <w:rsid w:val="00241C69"/>
    <w:rsid w:val="00242329"/>
    <w:rsid w:val="0024541C"/>
    <w:rsid w:val="00247BB5"/>
    <w:rsid w:val="00256BE3"/>
    <w:rsid w:val="00266F48"/>
    <w:rsid w:val="00270AE5"/>
    <w:rsid w:val="00271242"/>
    <w:rsid w:val="0027186C"/>
    <w:rsid w:val="002730D8"/>
    <w:rsid w:val="002768BA"/>
    <w:rsid w:val="00277AEF"/>
    <w:rsid w:val="002805B2"/>
    <w:rsid w:val="00280FCB"/>
    <w:rsid w:val="00281473"/>
    <w:rsid w:val="00282D46"/>
    <w:rsid w:val="002923A6"/>
    <w:rsid w:val="002929F7"/>
    <w:rsid w:val="002937CB"/>
    <w:rsid w:val="00294FB1"/>
    <w:rsid w:val="00297A12"/>
    <w:rsid w:val="00297D19"/>
    <w:rsid w:val="002A27A2"/>
    <w:rsid w:val="002A2BDD"/>
    <w:rsid w:val="002B1648"/>
    <w:rsid w:val="002B1AF9"/>
    <w:rsid w:val="002B31F3"/>
    <w:rsid w:val="002C57F4"/>
    <w:rsid w:val="002C7407"/>
    <w:rsid w:val="002C79BA"/>
    <w:rsid w:val="002D0B08"/>
    <w:rsid w:val="002D0DA5"/>
    <w:rsid w:val="002D1CED"/>
    <w:rsid w:val="002D4D56"/>
    <w:rsid w:val="002D6D79"/>
    <w:rsid w:val="002E1B28"/>
    <w:rsid w:val="002F3746"/>
    <w:rsid w:val="002F697B"/>
    <w:rsid w:val="003113C8"/>
    <w:rsid w:val="00316D2C"/>
    <w:rsid w:val="00316DF4"/>
    <w:rsid w:val="003214A4"/>
    <w:rsid w:val="00330974"/>
    <w:rsid w:val="00330EC9"/>
    <w:rsid w:val="00333A39"/>
    <w:rsid w:val="003375A5"/>
    <w:rsid w:val="00344A49"/>
    <w:rsid w:val="0034540C"/>
    <w:rsid w:val="00347151"/>
    <w:rsid w:val="00347C65"/>
    <w:rsid w:val="003529B3"/>
    <w:rsid w:val="003618F1"/>
    <w:rsid w:val="003652F0"/>
    <w:rsid w:val="00366151"/>
    <w:rsid w:val="0036662A"/>
    <w:rsid w:val="003865B8"/>
    <w:rsid w:val="0038693F"/>
    <w:rsid w:val="00391584"/>
    <w:rsid w:val="0039259D"/>
    <w:rsid w:val="003940F3"/>
    <w:rsid w:val="0039580B"/>
    <w:rsid w:val="00397AD7"/>
    <w:rsid w:val="003A18E7"/>
    <w:rsid w:val="003A1AD9"/>
    <w:rsid w:val="003A2203"/>
    <w:rsid w:val="003A332E"/>
    <w:rsid w:val="003A644C"/>
    <w:rsid w:val="003A67CC"/>
    <w:rsid w:val="003B2FAE"/>
    <w:rsid w:val="003B6643"/>
    <w:rsid w:val="003B726A"/>
    <w:rsid w:val="003C3210"/>
    <w:rsid w:val="003C6054"/>
    <w:rsid w:val="003C7C78"/>
    <w:rsid w:val="003D4EB4"/>
    <w:rsid w:val="003E09D5"/>
    <w:rsid w:val="003E23D1"/>
    <w:rsid w:val="003E77A4"/>
    <w:rsid w:val="003F1F09"/>
    <w:rsid w:val="003F28B5"/>
    <w:rsid w:val="003F5676"/>
    <w:rsid w:val="003F7DF8"/>
    <w:rsid w:val="0040628C"/>
    <w:rsid w:val="004136A8"/>
    <w:rsid w:val="00414392"/>
    <w:rsid w:val="00417DC7"/>
    <w:rsid w:val="00421AD5"/>
    <w:rsid w:val="004274A1"/>
    <w:rsid w:val="004322A4"/>
    <w:rsid w:val="00435B06"/>
    <w:rsid w:val="004378EE"/>
    <w:rsid w:val="00443FB5"/>
    <w:rsid w:val="00447D74"/>
    <w:rsid w:val="00447F7C"/>
    <w:rsid w:val="00452AAF"/>
    <w:rsid w:val="00452FA3"/>
    <w:rsid w:val="00455305"/>
    <w:rsid w:val="004631DA"/>
    <w:rsid w:val="004639C4"/>
    <w:rsid w:val="00466C85"/>
    <w:rsid w:val="00475D1E"/>
    <w:rsid w:val="00475E13"/>
    <w:rsid w:val="00482B56"/>
    <w:rsid w:val="00483E9E"/>
    <w:rsid w:val="004853EA"/>
    <w:rsid w:val="00485F22"/>
    <w:rsid w:val="00487204"/>
    <w:rsid w:val="004876E5"/>
    <w:rsid w:val="00491347"/>
    <w:rsid w:val="004923DB"/>
    <w:rsid w:val="0049531C"/>
    <w:rsid w:val="004A0897"/>
    <w:rsid w:val="004A42BF"/>
    <w:rsid w:val="004A5F41"/>
    <w:rsid w:val="004A607E"/>
    <w:rsid w:val="004A6A07"/>
    <w:rsid w:val="004A704E"/>
    <w:rsid w:val="004B1CC3"/>
    <w:rsid w:val="004B2CD5"/>
    <w:rsid w:val="004B5C52"/>
    <w:rsid w:val="004C1CE4"/>
    <w:rsid w:val="004C44BD"/>
    <w:rsid w:val="004C49C0"/>
    <w:rsid w:val="004C58E9"/>
    <w:rsid w:val="004D11D5"/>
    <w:rsid w:val="004D1FB6"/>
    <w:rsid w:val="004D5FC3"/>
    <w:rsid w:val="004D66FF"/>
    <w:rsid w:val="004E0590"/>
    <w:rsid w:val="004E358F"/>
    <w:rsid w:val="004E6B69"/>
    <w:rsid w:val="004F24DB"/>
    <w:rsid w:val="004F7609"/>
    <w:rsid w:val="005004F3"/>
    <w:rsid w:val="005031C2"/>
    <w:rsid w:val="005054C5"/>
    <w:rsid w:val="0050761B"/>
    <w:rsid w:val="00510A85"/>
    <w:rsid w:val="005206B0"/>
    <w:rsid w:val="00520904"/>
    <w:rsid w:val="00527115"/>
    <w:rsid w:val="0053023F"/>
    <w:rsid w:val="005303DC"/>
    <w:rsid w:val="00530480"/>
    <w:rsid w:val="0053182B"/>
    <w:rsid w:val="00534216"/>
    <w:rsid w:val="005376D6"/>
    <w:rsid w:val="0054453C"/>
    <w:rsid w:val="00547C74"/>
    <w:rsid w:val="005516A5"/>
    <w:rsid w:val="005533C2"/>
    <w:rsid w:val="00563838"/>
    <w:rsid w:val="00563B3D"/>
    <w:rsid w:val="005671CE"/>
    <w:rsid w:val="005702A5"/>
    <w:rsid w:val="00571253"/>
    <w:rsid w:val="0057371A"/>
    <w:rsid w:val="00581B51"/>
    <w:rsid w:val="005903F9"/>
    <w:rsid w:val="00591ECD"/>
    <w:rsid w:val="00593EE0"/>
    <w:rsid w:val="005953D7"/>
    <w:rsid w:val="00597AFF"/>
    <w:rsid w:val="005A0AC7"/>
    <w:rsid w:val="005A3FE6"/>
    <w:rsid w:val="005A4A5F"/>
    <w:rsid w:val="005A771F"/>
    <w:rsid w:val="005B09A6"/>
    <w:rsid w:val="005B1293"/>
    <w:rsid w:val="005B4860"/>
    <w:rsid w:val="005B79FB"/>
    <w:rsid w:val="005B7C13"/>
    <w:rsid w:val="005C11A9"/>
    <w:rsid w:val="005C492A"/>
    <w:rsid w:val="005C5B4A"/>
    <w:rsid w:val="005C5ECB"/>
    <w:rsid w:val="005D1053"/>
    <w:rsid w:val="005D2F65"/>
    <w:rsid w:val="005E0604"/>
    <w:rsid w:val="005E1221"/>
    <w:rsid w:val="005E5744"/>
    <w:rsid w:val="005F038F"/>
    <w:rsid w:val="005F0F88"/>
    <w:rsid w:val="005F2639"/>
    <w:rsid w:val="00601513"/>
    <w:rsid w:val="00605339"/>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2D34"/>
    <w:rsid w:val="006507EE"/>
    <w:rsid w:val="00661D02"/>
    <w:rsid w:val="00662199"/>
    <w:rsid w:val="00665BE2"/>
    <w:rsid w:val="0067708D"/>
    <w:rsid w:val="0067787C"/>
    <w:rsid w:val="00677B1E"/>
    <w:rsid w:val="00677C93"/>
    <w:rsid w:val="006824CC"/>
    <w:rsid w:val="00683235"/>
    <w:rsid w:val="006836FA"/>
    <w:rsid w:val="00686E67"/>
    <w:rsid w:val="00690AB6"/>
    <w:rsid w:val="00690B46"/>
    <w:rsid w:val="00696DBF"/>
    <w:rsid w:val="00696E7D"/>
    <w:rsid w:val="006A1E78"/>
    <w:rsid w:val="006A22E2"/>
    <w:rsid w:val="006B0D85"/>
    <w:rsid w:val="006B526A"/>
    <w:rsid w:val="006B75D2"/>
    <w:rsid w:val="006C0163"/>
    <w:rsid w:val="006C0AD7"/>
    <w:rsid w:val="006C702F"/>
    <w:rsid w:val="006D1718"/>
    <w:rsid w:val="006E05A9"/>
    <w:rsid w:val="006E0B8B"/>
    <w:rsid w:val="006E16C9"/>
    <w:rsid w:val="006E67AE"/>
    <w:rsid w:val="006E798D"/>
    <w:rsid w:val="006E7C89"/>
    <w:rsid w:val="006F23CE"/>
    <w:rsid w:val="006F4DC3"/>
    <w:rsid w:val="0070221E"/>
    <w:rsid w:val="00703E9B"/>
    <w:rsid w:val="007070F4"/>
    <w:rsid w:val="00707C95"/>
    <w:rsid w:val="00710DD2"/>
    <w:rsid w:val="00717B9B"/>
    <w:rsid w:val="0072623F"/>
    <w:rsid w:val="007263AF"/>
    <w:rsid w:val="00727011"/>
    <w:rsid w:val="007350FF"/>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A58CC"/>
    <w:rsid w:val="007B3E81"/>
    <w:rsid w:val="007C1CA1"/>
    <w:rsid w:val="007D3038"/>
    <w:rsid w:val="007D42C6"/>
    <w:rsid w:val="007E1501"/>
    <w:rsid w:val="007E33DA"/>
    <w:rsid w:val="007E69B5"/>
    <w:rsid w:val="007F0F67"/>
    <w:rsid w:val="007F5F38"/>
    <w:rsid w:val="0080172F"/>
    <w:rsid w:val="00803394"/>
    <w:rsid w:val="00807773"/>
    <w:rsid w:val="00807C29"/>
    <w:rsid w:val="00811BF1"/>
    <w:rsid w:val="008127AF"/>
    <w:rsid w:val="00814122"/>
    <w:rsid w:val="00817EF3"/>
    <w:rsid w:val="008222F7"/>
    <w:rsid w:val="0082428A"/>
    <w:rsid w:val="008359DC"/>
    <w:rsid w:val="00852673"/>
    <w:rsid w:val="0085384B"/>
    <w:rsid w:val="0085430B"/>
    <w:rsid w:val="00856EDA"/>
    <w:rsid w:val="008576A6"/>
    <w:rsid w:val="00865C80"/>
    <w:rsid w:val="008663E3"/>
    <w:rsid w:val="00870F24"/>
    <w:rsid w:val="0087169A"/>
    <w:rsid w:val="00880909"/>
    <w:rsid w:val="00881A04"/>
    <w:rsid w:val="008820BA"/>
    <w:rsid w:val="00885539"/>
    <w:rsid w:val="00885C3D"/>
    <w:rsid w:val="00890A7C"/>
    <w:rsid w:val="008923B9"/>
    <w:rsid w:val="00894683"/>
    <w:rsid w:val="008A3E24"/>
    <w:rsid w:val="008A53CB"/>
    <w:rsid w:val="008A5A0D"/>
    <w:rsid w:val="008B3037"/>
    <w:rsid w:val="008C1AF6"/>
    <w:rsid w:val="008C3DAE"/>
    <w:rsid w:val="008C4CE9"/>
    <w:rsid w:val="008D4415"/>
    <w:rsid w:val="008D444C"/>
    <w:rsid w:val="008D55D4"/>
    <w:rsid w:val="008D5F38"/>
    <w:rsid w:val="008D7278"/>
    <w:rsid w:val="008E2069"/>
    <w:rsid w:val="008E2AC8"/>
    <w:rsid w:val="008E3A92"/>
    <w:rsid w:val="008E3C68"/>
    <w:rsid w:val="008F38C3"/>
    <w:rsid w:val="008F56B6"/>
    <w:rsid w:val="00914A06"/>
    <w:rsid w:val="009220EC"/>
    <w:rsid w:val="00926630"/>
    <w:rsid w:val="00932D0C"/>
    <w:rsid w:val="00933886"/>
    <w:rsid w:val="00934F45"/>
    <w:rsid w:val="009422B0"/>
    <w:rsid w:val="009426AD"/>
    <w:rsid w:val="00947246"/>
    <w:rsid w:val="00947C9D"/>
    <w:rsid w:val="00954EEB"/>
    <w:rsid w:val="00956C1E"/>
    <w:rsid w:val="0097341D"/>
    <w:rsid w:val="009913E3"/>
    <w:rsid w:val="009924A0"/>
    <w:rsid w:val="0099342A"/>
    <w:rsid w:val="009961A8"/>
    <w:rsid w:val="009A1219"/>
    <w:rsid w:val="009A3E23"/>
    <w:rsid w:val="009A662F"/>
    <w:rsid w:val="009A7038"/>
    <w:rsid w:val="009B2BC0"/>
    <w:rsid w:val="009B3957"/>
    <w:rsid w:val="009B4714"/>
    <w:rsid w:val="009B7A40"/>
    <w:rsid w:val="009C1904"/>
    <w:rsid w:val="009C2D62"/>
    <w:rsid w:val="009C5F59"/>
    <w:rsid w:val="009C687C"/>
    <w:rsid w:val="009D3B8E"/>
    <w:rsid w:val="009D3BAD"/>
    <w:rsid w:val="009E1857"/>
    <w:rsid w:val="009E4DA6"/>
    <w:rsid w:val="009E58D9"/>
    <w:rsid w:val="009E69E2"/>
    <w:rsid w:val="009E7F18"/>
    <w:rsid w:val="009F0535"/>
    <w:rsid w:val="009F16C3"/>
    <w:rsid w:val="009F4BD9"/>
    <w:rsid w:val="009F6324"/>
    <w:rsid w:val="00A00DB1"/>
    <w:rsid w:val="00A05F9C"/>
    <w:rsid w:val="00A06C24"/>
    <w:rsid w:val="00A076DC"/>
    <w:rsid w:val="00A127C6"/>
    <w:rsid w:val="00A16C8B"/>
    <w:rsid w:val="00A23D91"/>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86A73"/>
    <w:rsid w:val="00A91F0C"/>
    <w:rsid w:val="00A937EF"/>
    <w:rsid w:val="00A9443D"/>
    <w:rsid w:val="00AA30C9"/>
    <w:rsid w:val="00AA3EF8"/>
    <w:rsid w:val="00AB2F7C"/>
    <w:rsid w:val="00AB4283"/>
    <w:rsid w:val="00AC4B6C"/>
    <w:rsid w:val="00AC6352"/>
    <w:rsid w:val="00AC644B"/>
    <w:rsid w:val="00AC6C48"/>
    <w:rsid w:val="00AC73C3"/>
    <w:rsid w:val="00AD5789"/>
    <w:rsid w:val="00AE3CE8"/>
    <w:rsid w:val="00AE4ABF"/>
    <w:rsid w:val="00AE6787"/>
    <w:rsid w:val="00AF029B"/>
    <w:rsid w:val="00AF0898"/>
    <w:rsid w:val="00AF0A0D"/>
    <w:rsid w:val="00AF1F99"/>
    <w:rsid w:val="00AF25D0"/>
    <w:rsid w:val="00AF2A89"/>
    <w:rsid w:val="00AF4CD9"/>
    <w:rsid w:val="00B00E19"/>
    <w:rsid w:val="00B058B6"/>
    <w:rsid w:val="00B0591B"/>
    <w:rsid w:val="00B06DF8"/>
    <w:rsid w:val="00B07C1B"/>
    <w:rsid w:val="00B14AA0"/>
    <w:rsid w:val="00B14CA7"/>
    <w:rsid w:val="00B259E5"/>
    <w:rsid w:val="00B26628"/>
    <w:rsid w:val="00B3130A"/>
    <w:rsid w:val="00B33BD8"/>
    <w:rsid w:val="00B41981"/>
    <w:rsid w:val="00B42F3A"/>
    <w:rsid w:val="00B4351C"/>
    <w:rsid w:val="00B44625"/>
    <w:rsid w:val="00B46548"/>
    <w:rsid w:val="00B47BB9"/>
    <w:rsid w:val="00B51113"/>
    <w:rsid w:val="00B64726"/>
    <w:rsid w:val="00B66D73"/>
    <w:rsid w:val="00B67720"/>
    <w:rsid w:val="00B70A77"/>
    <w:rsid w:val="00B71F86"/>
    <w:rsid w:val="00B7378D"/>
    <w:rsid w:val="00B748DF"/>
    <w:rsid w:val="00B75709"/>
    <w:rsid w:val="00B87121"/>
    <w:rsid w:val="00B905D0"/>
    <w:rsid w:val="00B90F70"/>
    <w:rsid w:val="00B92508"/>
    <w:rsid w:val="00B92EC5"/>
    <w:rsid w:val="00B9676C"/>
    <w:rsid w:val="00BA3F54"/>
    <w:rsid w:val="00BA57E5"/>
    <w:rsid w:val="00BA694E"/>
    <w:rsid w:val="00BB138B"/>
    <w:rsid w:val="00BB36E6"/>
    <w:rsid w:val="00BC4039"/>
    <w:rsid w:val="00BC5BDA"/>
    <w:rsid w:val="00BD0780"/>
    <w:rsid w:val="00BD17AE"/>
    <w:rsid w:val="00BD4663"/>
    <w:rsid w:val="00BE1C9A"/>
    <w:rsid w:val="00BE1E8F"/>
    <w:rsid w:val="00BE6468"/>
    <w:rsid w:val="00BE6CC1"/>
    <w:rsid w:val="00BF5514"/>
    <w:rsid w:val="00BF587A"/>
    <w:rsid w:val="00BF7592"/>
    <w:rsid w:val="00C02E76"/>
    <w:rsid w:val="00C13806"/>
    <w:rsid w:val="00C146A1"/>
    <w:rsid w:val="00C1798F"/>
    <w:rsid w:val="00C2262B"/>
    <w:rsid w:val="00C23560"/>
    <w:rsid w:val="00C24850"/>
    <w:rsid w:val="00C25577"/>
    <w:rsid w:val="00C25B44"/>
    <w:rsid w:val="00C26B0C"/>
    <w:rsid w:val="00C27505"/>
    <w:rsid w:val="00C3317D"/>
    <w:rsid w:val="00C33E49"/>
    <w:rsid w:val="00C35591"/>
    <w:rsid w:val="00C35A56"/>
    <w:rsid w:val="00C40546"/>
    <w:rsid w:val="00C41BD5"/>
    <w:rsid w:val="00C41EDB"/>
    <w:rsid w:val="00C42FA7"/>
    <w:rsid w:val="00C469DB"/>
    <w:rsid w:val="00C52B5C"/>
    <w:rsid w:val="00C535B1"/>
    <w:rsid w:val="00C5774B"/>
    <w:rsid w:val="00C578A1"/>
    <w:rsid w:val="00C60C6F"/>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2A30"/>
    <w:rsid w:val="00CB505F"/>
    <w:rsid w:val="00CB6AA8"/>
    <w:rsid w:val="00CB6EE8"/>
    <w:rsid w:val="00CB7939"/>
    <w:rsid w:val="00CC5451"/>
    <w:rsid w:val="00CC5E8E"/>
    <w:rsid w:val="00CD7F0A"/>
    <w:rsid w:val="00CE28F2"/>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087"/>
    <w:rsid w:val="00D85ACE"/>
    <w:rsid w:val="00D965B9"/>
    <w:rsid w:val="00DA7383"/>
    <w:rsid w:val="00DB3586"/>
    <w:rsid w:val="00DB5C6B"/>
    <w:rsid w:val="00DC1011"/>
    <w:rsid w:val="00DC11E3"/>
    <w:rsid w:val="00DC5385"/>
    <w:rsid w:val="00DC769B"/>
    <w:rsid w:val="00DC7728"/>
    <w:rsid w:val="00DC7AB7"/>
    <w:rsid w:val="00DD3616"/>
    <w:rsid w:val="00DD622B"/>
    <w:rsid w:val="00DD6CB9"/>
    <w:rsid w:val="00DE09DA"/>
    <w:rsid w:val="00DE1BD0"/>
    <w:rsid w:val="00DE27F8"/>
    <w:rsid w:val="00DE55A6"/>
    <w:rsid w:val="00DE693B"/>
    <w:rsid w:val="00DF36FC"/>
    <w:rsid w:val="00E010D9"/>
    <w:rsid w:val="00E0238C"/>
    <w:rsid w:val="00E132D4"/>
    <w:rsid w:val="00E1444A"/>
    <w:rsid w:val="00E14905"/>
    <w:rsid w:val="00E17087"/>
    <w:rsid w:val="00E307F8"/>
    <w:rsid w:val="00E30E83"/>
    <w:rsid w:val="00E314FC"/>
    <w:rsid w:val="00E409B4"/>
    <w:rsid w:val="00E42B0B"/>
    <w:rsid w:val="00E47083"/>
    <w:rsid w:val="00E47926"/>
    <w:rsid w:val="00E52C47"/>
    <w:rsid w:val="00E53DCA"/>
    <w:rsid w:val="00E6399A"/>
    <w:rsid w:val="00E71AB0"/>
    <w:rsid w:val="00E72F4B"/>
    <w:rsid w:val="00E730FB"/>
    <w:rsid w:val="00E7635E"/>
    <w:rsid w:val="00E768AA"/>
    <w:rsid w:val="00E828B5"/>
    <w:rsid w:val="00E8785C"/>
    <w:rsid w:val="00E87AF4"/>
    <w:rsid w:val="00E91E33"/>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46FE"/>
    <w:rsid w:val="00EF4BDF"/>
    <w:rsid w:val="00EF5D3D"/>
    <w:rsid w:val="00EF6363"/>
    <w:rsid w:val="00F047A9"/>
    <w:rsid w:val="00F063F4"/>
    <w:rsid w:val="00F07C3A"/>
    <w:rsid w:val="00F12C7D"/>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36EC"/>
    <w:rsid w:val="00F638E9"/>
    <w:rsid w:val="00F64252"/>
    <w:rsid w:val="00F65129"/>
    <w:rsid w:val="00F66624"/>
    <w:rsid w:val="00F66BB6"/>
    <w:rsid w:val="00F66C18"/>
    <w:rsid w:val="00F7164D"/>
    <w:rsid w:val="00F74AD4"/>
    <w:rsid w:val="00F74C31"/>
    <w:rsid w:val="00F75651"/>
    <w:rsid w:val="00F760E7"/>
    <w:rsid w:val="00F7759E"/>
    <w:rsid w:val="00F822A7"/>
    <w:rsid w:val="00F8394C"/>
    <w:rsid w:val="00F83B83"/>
    <w:rsid w:val="00F860AD"/>
    <w:rsid w:val="00F90E2E"/>
    <w:rsid w:val="00FA05C8"/>
    <w:rsid w:val="00FA1112"/>
    <w:rsid w:val="00FA1C73"/>
    <w:rsid w:val="00FA2FC9"/>
    <w:rsid w:val="00FA2FE9"/>
    <w:rsid w:val="00FB2A58"/>
    <w:rsid w:val="00FB32DA"/>
    <w:rsid w:val="00FC1DE0"/>
    <w:rsid w:val="00FC48EB"/>
    <w:rsid w:val="00FC7091"/>
    <w:rsid w:val="00FD0EAB"/>
    <w:rsid w:val="00FE2A36"/>
    <w:rsid w:val="00FE47BC"/>
    <w:rsid w:val="00FF329F"/>
    <w:rsid w:val="00FF5AD3"/>
    <w:rsid w:val="1AF98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efault">
    <w:name w:val="Default"/>
    <w:rsid w:val="00316DF4"/>
    <w:pPr>
      <w:autoSpaceDE w:val="0"/>
      <w:autoSpaceDN w:val="0"/>
      <w:adjustRightInd w:val="0"/>
      <w:spacing w:after="0"/>
      <w:jc w:val="left"/>
    </w:pPr>
    <w:rPr>
      <w:color w:val="000000"/>
      <w:szCs w:val="24"/>
    </w:rPr>
  </w:style>
  <w:style w:type="paragraph" w:customStyle="1" w:styleId="gmail-msolistparagraph">
    <w:name w:val="gmail-msolistparagraph"/>
    <w:basedOn w:val="Normal"/>
    <w:rsid w:val="00CE28F2"/>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3618F1"/>
    <w:pPr>
      <w:spacing w:before="100" w:beforeAutospacing="1" w:after="100" w:afterAutospacing="1"/>
    </w:pPr>
    <w:rPr>
      <w:szCs w:val="24"/>
    </w:rPr>
  </w:style>
  <w:style w:type="paragraph" w:customStyle="1" w:styleId="pf0">
    <w:name w:val="pf0"/>
    <w:basedOn w:val="Normal"/>
    <w:rsid w:val="00807C29"/>
    <w:pPr>
      <w:spacing w:before="100" w:beforeAutospacing="1" w:after="100" w:afterAutospacing="1"/>
    </w:pPr>
    <w:rPr>
      <w:szCs w:val="24"/>
    </w:rPr>
  </w:style>
  <w:style w:type="character" w:customStyle="1" w:styleId="cf01">
    <w:name w:val="cf01"/>
    <w:basedOn w:val="DefaultParagraphFont"/>
    <w:rsid w:val="00807C29"/>
    <w:rPr>
      <w:rFonts w:ascii="Segoe UI" w:hAnsi="Segoe UI" w:cs="Segoe UI" w:hint="default"/>
      <w:sz w:val="18"/>
      <w:szCs w:val="18"/>
    </w:rPr>
  </w:style>
  <w:style w:type="character" w:customStyle="1" w:styleId="cf11">
    <w:name w:val="cf11"/>
    <w:basedOn w:val="DefaultParagraphFont"/>
    <w:rsid w:val="00807C29"/>
    <w:rPr>
      <w:rFonts w:ascii="Segoe UI" w:hAnsi="Segoe UI" w:cs="Segoe UI" w:hint="default"/>
      <w:b/>
      <w:bCs/>
      <w:sz w:val="18"/>
      <w:szCs w:val="18"/>
    </w:rPr>
  </w:style>
  <w:style w:type="paragraph" w:customStyle="1" w:styleId="xxmsolistparagraph">
    <w:name w:val="x_xmsolistparagraph"/>
    <w:basedOn w:val="Normal"/>
    <w:rsid w:val="00947246"/>
    <w:pPr>
      <w:spacing w:after="160" w:line="252" w:lineRule="auto"/>
      <w:ind w:left="720"/>
    </w:pPr>
    <w:rPr>
      <w:rFonts w:ascii="Calibri" w:eastAsiaTheme="minorHAnsi" w:hAnsi="Calibri" w:cs="Calibri"/>
      <w:sz w:val="22"/>
      <w:szCs w:val="22"/>
    </w:rPr>
  </w:style>
  <w:style w:type="paragraph" w:customStyle="1" w:styleId="xxmsonormal">
    <w:name w:val="x_xmsonormal"/>
    <w:basedOn w:val="Normal"/>
    <w:rsid w:val="009472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022">
      <w:bodyDiv w:val="1"/>
      <w:marLeft w:val="0"/>
      <w:marRight w:val="0"/>
      <w:marTop w:val="0"/>
      <w:marBottom w:val="0"/>
      <w:divBdr>
        <w:top w:val="none" w:sz="0" w:space="0" w:color="auto"/>
        <w:left w:val="none" w:sz="0" w:space="0" w:color="auto"/>
        <w:bottom w:val="none" w:sz="0" w:space="0" w:color="auto"/>
        <w:right w:val="none" w:sz="0" w:space="0" w:color="auto"/>
      </w:divBdr>
    </w:div>
    <w:div w:id="94596317">
      <w:bodyDiv w:val="1"/>
      <w:marLeft w:val="0"/>
      <w:marRight w:val="0"/>
      <w:marTop w:val="0"/>
      <w:marBottom w:val="0"/>
      <w:divBdr>
        <w:top w:val="none" w:sz="0" w:space="0" w:color="auto"/>
        <w:left w:val="none" w:sz="0" w:space="0" w:color="auto"/>
        <w:bottom w:val="none" w:sz="0" w:space="0" w:color="auto"/>
        <w:right w:val="none" w:sz="0" w:space="0" w:color="auto"/>
      </w:divBdr>
    </w:div>
    <w:div w:id="140007236">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27888025">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83525066">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61073143">
      <w:bodyDiv w:val="1"/>
      <w:marLeft w:val="0"/>
      <w:marRight w:val="0"/>
      <w:marTop w:val="0"/>
      <w:marBottom w:val="0"/>
      <w:divBdr>
        <w:top w:val="none" w:sz="0" w:space="0" w:color="auto"/>
        <w:left w:val="none" w:sz="0" w:space="0" w:color="auto"/>
        <w:bottom w:val="none" w:sz="0" w:space="0" w:color="auto"/>
        <w:right w:val="none" w:sz="0" w:space="0" w:color="auto"/>
      </w:divBdr>
    </w:div>
    <w:div w:id="465664184">
      <w:bodyDiv w:val="1"/>
      <w:marLeft w:val="0"/>
      <w:marRight w:val="0"/>
      <w:marTop w:val="0"/>
      <w:marBottom w:val="0"/>
      <w:divBdr>
        <w:top w:val="none" w:sz="0" w:space="0" w:color="auto"/>
        <w:left w:val="none" w:sz="0" w:space="0" w:color="auto"/>
        <w:bottom w:val="none" w:sz="0" w:space="0" w:color="auto"/>
        <w:right w:val="none" w:sz="0" w:space="0" w:color="auto"/>
      </w:divBdr>
    </w:div>
    <w:div w:id="661197588">
      <w:bodyDiv w:val="1"/>
      <w:marLeft w:val="0"/>
      <w:marRight w:val="0"/>
      <w:marTop w:val="0"/>
      <w:marBottom w:val="0"/>
      <w:divBdr>
        <w:top w:val="none" w:sz="0" w:space="0" w:color="auto"/>
        <w:left w:val="none" w:sz="0" w:space="0" w:color="auto"/>
        <w:bottom w:val="none" w:sz="0" w:space="0" w:color="auto"/>
        <w:right w:val="none" w:sz="0" w:space="0" w:color="auto"/>
      </w:divBdr>
    </w:div>
    <w:div w:id="745147535">
      <w:bodyDiv w:val="1"/>
      <w:marLeft w:val="0"/>
      <w:marRight w:val="0"/>
      <w:marTop w:val="0"/>
      <w:marBottom w:val="0"/>
      <w:divBdr>
        <w:top w:val="none" w:sz="0" w:space="0" w:color="auto"/>
        <w:left w:val="none" w:sz="0" w:space="0" w:color="auto"/>
        <w:bottom w:val="none" w:sz="0" w:space="0" w:color="auto"/>
        <w:right w:val="none" w:sz="0" w:space="0" w:color="auto"/>
      </w:divBdr>
    </w:div>
    <w:div w:id="762651193">
      <w:bodyDiv w:val="1"/>
      <w:marLeft w:val="0"/>
      <w:marRight w:val="0"/>
      <w:marTop w:val="0"/>
      <w:marBottom w:val="0"/>
      <w:divBdr>
        <w:top w:val="none" w:sz="0" w:space="0" w:color="auto"/>
        <w:left w:val="none" w:sz="0" w:space="0" w:color="auto"/>
        <w:bottom w:val="none" w:sz="0" w:space="0" w:color="auto"/>
        <w:right w:val="none" w:sz="0" w:space="0" w:color="auto"/>
      </w:divBdr>
    </w:div>
    <w:div w:id="767434540">
      <w:bodyDiv w:val="1"/>
      <w:marLeft w:val="0"/>
      <w:marRight w:val="0"/>
      <w:marTop w:val="0"/>
      <w:marBottom w:val="0"/>
      <w:divBdr>
        <w:top w:val="none" w:sz="0" w:space="0" w:color="auto"/>
        <w:left w:val="none" w:sz="0" w:space="0" w:color="auto"/>
        <w:bottom w:val="none" w:sz="0" w:space="0" w:color="auto"/>
        <w:right w:val="none" w:sz="0" w:space="0" w:color="auto"/>
      </w:divBdr>
    </w:div>
    <w:div w:id="800655316">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93333683">
      <w:bodyDiv w:val="1"/>
      <w:marLeft w:val="0"/>
      <w:marRight w:val="0"/>
      <w:marTop w:val="0"/>
      <w:marBottom w:val="0"/>
      <w:divBdr>
        <w:top w:val="none" w:sz="0" w:space="0" w:color="auto"/>
        <w:left w:val="none" w:sz="0" w:space="0" w:color="auto"/>
        <w:bottom w:val="none" w:sz="0" w:space="0" w:color="auto"/>
        <w:right w:val="none" w:sz="0" w:space="0" w:color="auto"/>
      </w:divBdr>
    </w:div>
    <w:div w:id="1019618785">
      <w:bodyDiv w:val="1"/>
      <w:marLeft w:val="0"/>
      <w:marRight w:val="0"/>
      <w:marTop w:val="0"/>
      <w:marBottom w:val="0"/>
      <w:divBdr>
        <w:top w:val="none" w:sz="0" w:space="0" w:color="auto"/>
        <w:left w:val="none" w:sz="0" w:space="0" w:color="auto"/>
        <w:bottom w:val="none" w:sz="0" w:space="0" w:color="auto"/>
        <w:right w:val="none" w:sz="0" w:space="0" w:color="auto"/>
      </w:divBdr>
    </w:div>
    <w:div w:id="1036003478">
      <w:bodyDiv w:val="1"/>
      <w:marLeft w:val="0"/>
      <w:marRight w:val="0"/>
      <w:marTop w:val="0"/>
      <w:marBottom w:val="0"/>
      <w:divBdr>
        <w:top w:val="none" w:sz="0" w:space="0" w:color="auto"/>
        <w:left w:val="none" w:sz="0" w:space="0" w:color="auto"/>
        <w:bottom w:val="none" w:sz="0" w:space="0" w:color="auto"/>
        <w:right w:val="none" w:sz="0" w:space="0" w:color="auto"/>
      </w:divBdr>
    </w:div>
    <w:div w:id="1049256562">
      <w:bodyDiv w:val="1"/>
      <w:marLeft w:val="0"/>
      <w:marRight w:val="0"/>
      <w:marTop w:val="0"/>
      <w:marBottom w:val="0"/>
      <w:divBdr>
        <w:top w:val="none" w:sz="0" w:space="0" w:color="auto"/>
        <w:left w:val="none" w:sz="0" w:space="0" w:color="auto"/>
        <w:bottom w:val="none" w:sz="0" w:space="0" w:color="auto"/>
        <w:right w:val="none" w:sz="0" w:space="0" w:color="auto"/>
      </w:divBdr>
    </w:div>
    <w:div w:id="1056515308">
      <w:bodyDiv w:val="1"/>
      <w:marLeft w:val="0"/>
      <w:marRight w:val="0"/>
      <w:marTop w:val="0"/>
      <w:marBottom w:val="0"/>
      <w:divBdr>
        <w:top w:val="none" w:sz="0" w:space="0" w:color="auto"/>
        <w:left w:val="none" w:sz="0" w:space="0" w:color="auto"/>
        <w:bottom w:val="none" w:sz="0" w:space="0" w:color="auto"/>
        <w:right w:val="none" w:sz="0" w:space="0" w:color="auto"/>
      </w:divBdr>
    </w:div>
    <w:div w:id="1078749374">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01629985">
      <w:bodyDiv w:val="1"/>
      <w:marLeft w:val="0"/>
      <w:marRight w:val="0"/>
      <w:marTop w:val="0"/>
      <w:marBottom w:val="0"/>
      <w:divBdr>
        <w:top w:val="none" w:sz="0" w:space="0" w:color="auto"/>
        <w:left w:val="none" w:sz="0" w:space="0" w:color="auto"/>
        <w:bottom w:val="none" w:sz="0" w:space="0" w:color="auto"/>
        <w:right w:val="none" w:sz="0" w:space="0" w:color="auto"/>
      </w:divBdr>
    </w:div>
    <w:div w:id="1216350205">
      <w:bodyDiv w:val="1"/>
      <w:marLeft w:val="0"/>
      <w:marRight w:val="0"/>
      <w:marTop w:val="0"/>
      <w:marBottom w:val="0"/>
      <w:divBdr>
        <w:top w:val="none" w:sz="0" w:space="0" w:color="auto"/>
        <w:left w:val="none" w:sz="0" w:space="0" w:color="auto"/>
        <w:bottom w:val="none" w:sz="0" w:space="0" w:color="auto"/>
        <w:right w:val="none" w:sz="0" w:space="0" w:color="auto"/>
      </w:divBdr>
    </w:div>
    <w:div w:id="1250193716">
      <w:bodyDiv w:val="1"/>
      <w:marLeft w:val="0"/>
      <w:marRight w:val="0"/>
      <w:marTop w:val="0"/>
      <w:marBottom w:val="0"/>
      <w:divBdr>
        <w:top w:val="none" w:sz="0" w:space="0" w:color="auto"/>
        <w:left w:val="none" w:sz="0" w:space="0" w:color="auto"/>
        <w:bottom w:val="none" w:sz="0" w:space="0" w:color="auto"/>
        <w:right w:val="none" w:sz="0" w:space="0" w:color="auto"/>
      </w:divBdr>
    </w:div>
    <w:div w:id="1251424846">
      <w:bodyDiv w:val="1"/>
      <w:marLeft w:val="0"/>
      <w:marRight w:val="0"/>
      <w:marTop w:val="0"/>
      <w:marBottom w:val="0"/>
      <w:divBdr>
        <w:top w:val="none" w:sz="0" w:space="0" w:color="auto"/>
        <w:left w:val="none" w:sz="0" w:space="0" w:color="auto"/>
        <w:bottom w:val="none" w:sz="0" w:space="0" w:color="auto"/>
        <w:right w:val="none" w:sz="0" w:space="0" w:color="auto"/>
      </w:divBdr>
    </w:div>
    <w:div w:id="1254244540">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109653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69925861">
      <w:bodyDiv w:val="1"/>
      <w:marLeft w:val="0"/>
      <w:marRight w:val="0"/>
      <w:marTop w:val="0"/>
      <w:marBottom w:val="0"/>
      <w:divBdr>
        <w:top w:val="none" w:sz="0" w:space="0" w:color="auto"/>
        <w:left w:val="none" w:sz="0" w:space="0" w:color="auto"/>
        <w:bottom w:val="none" w:sz="0" w:space="0" w:color="auto"/>
        <w:right w:val="none" w:sz="0" w:space="0" w:color="auto"/>
      </w:divBdr>
    </w:div>
    <w:div w:id="1637683477">
      <w:bodyDiv w:val="1"/>
      <w:marLeft w:val="0"/>
      <w:marRight w:val="0"/>
      <w:marTop w:val="0"/>
      <w:marBottom w:val="0"/>
      <w:divBdr>
        <w:top w:val="none" w:sz="0" w:space="0" w:color="auto"/>
        <w:left w:val="none" w:sz="0" w:space="0" w:color="auto"/>
        <w:bottom w:val="none" w:sz="0" w:space="0" w:color="auto"/>
        <w:right w:val="none" w:sz="0" w:space="0" w:color="auto"/>
      </w:divBdr>
    </w:div>
    <w:div w:id="1668897795">
      <w:bodyDiv w:val="1"/>
      <w:marLeft w:val="0"/>
      <w:marRight w:val="0"/>
      <w:marTop w:val="0"/>
      <w:marBottom w:val="0"/>
      <w:divBdr>
        <w:top w:val="none" w:sz="0" w:space="0" w:color="auto"/>
        <w:left w:val="none" w:sz="0" w:space="0" w:color="auto"/>
        <w:bottom w:val="none" w:sz="0" w:space="0" w:color="auto"/>
        <w:right w:val="none" w:sz="0" w:space="0" w:color="auto"/>
      </w:divBdr>
    </w:div>
    <w:div w:id="1694921694">
      <w:bodyDiv w:val="1"/>
      <w:marLeft w:val="0"/>
      <w:marRight w:val="0"/>
      <w:marTop w:val="0"/>
      <w:marBottom w:val="0"/>
      <w:divBdr>
        <w:top w:val="none" w:sz="0" w:space="0" w:color="auto"/>
        <w:left w:val="none" w:sz="0" w:space="0" w:color="auto"/>
        <w:bottom w:val="none" w:sz="0" w:space="0" w:color="auto"/>
        <w:right w:val="none" w:sz="0" w:space="0" w:color="auto"/>
      </w:divBdr>
    </w:div>
    <w:div w:id="1702899963">
      <w:bodyDiv w:val="1"/>
      <w:marLeft w:val="0"/>
      <w:marRight w:val="0"/>
      <w:marTop w:val="0"/>
      <w:marBottom w:val="0"/>
      <w:divBdr>
        <w:top w:val="none" w:sz="0" w:space="0" w:color="auto"/>
        <w:left w:val="none" w:sz="0" w:space="0" w:color="auto"/>
        <w:bottom w:val="none" w:sz="0" w:space="0" w:color="auto"/>
        <w:right w:val="none" w:sz="0" w:space="0" w:color="auto"/>
      </w:divBdr>
    </w:div>
    <w:div w:id="1716851444">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63062590">
      <w:bodyDiv w:val="1"/>
      <w:marLeft w:val="0"/>
      <w:marRight w:val="0"/>
      <w:marTop w:val="0"/>
      <w:marBottom w:val="0"/>
      <w:divBdr>
        <w:top w:val="none" w:sz="0" w:space="0" w:color="auto"/>
        <w:left w:val="none" w:sz="0" w:space="0" w:color="auto"/>
        <w:bottom w:val="none" w:sz="0" w:space="0" w:color="auto"/>
        <w:right w:val="none" w:sz="0" w:space="0" w:color="auto"/>
      </w:divBdr>
    </w:div>
    <w:div w:id="1992903637">
      <w:bodyDiv w:val="1"/>
      <w:marLeft w:val="0"/>
      <w:marRight w:val="0"/>
      <w:marTop w:val="0"/>
      <w:marBottom w:val="0"/>
      <w:divBdr>
        <w:top w:val="none" w:sz="0" w:space="0" w:color="auto"/>
        <w:left w:val="none" w:sz="0" w:space="0" w:color="auto"/>
        <w:bottom w:val="none" w:sz="0" w:space="0" w:color="auto"/>
        <w:right w:val="none" w:sz="0" w:space="0" w:color="auto"/>
      </w:divBdr>
    </w:div>
    <w:div w:id="1997689127">
      <w:bodyDiv w:val="1"/>
      <w:marLeft w:val="0"/>
      <w:marRight w:val="0"/>
      <w:marTop w:val="0"/>
      <w:marBottom w:val="0"/>
      <w:divBdr>
        <w:top w:val="none" w:sz="0" w:space="0" w:color="auto"/>
        <w:left w:val="none" w:sz="0" w:space="0" w:color="auto"/>
        <w:bottom w:val="none" w:sz="0" w:space="0" w:color="auto"/>
        <w:right w:val="none" w:sz="0" w:space="0" w:color="auto"/>
      </w:divBdr>
    </w:div>
    <w:div w:id="210051438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38DCA48-3B40-4546-B1E3-D76316BF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8170</Words>
  <Characters>4658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12803</CharactersWithSpaces>
  <SharedDoc>false</SharedDoc>
  <HLinks>
    <vt:vector size="24" baseType="variant">
      <vt:variant>
        <vt:i4>18</vt:i4>
      </vt:variant>
      <vt:variant>
        <vt:i4>17</vt:i4>
      </vt:variant>
      <vt:variant>
        <vt:i4>0</vt:i4>
      </vt:variant>
      <vt:variant>
        <vt:i4>5</vt:i4>
      </vt:variant>
      <vt:variant>
        <vt:lpwstr>https://european-digital-innovation-hubs.ec.europa.eu/edih-catalogue?f%5B0%5D=country%3ALithuania</vt:lpwstr>
      </vt:variant>
      <vt:variant>
        <vt:lpwstr/>
      </vt:variant>
      <vt:variant>
        <vt:i4>18</vt:i4>
      </vt:variant>
      <vt:variant>
        <vt:i4>14</vt:i4>
      </vt:variant>
      <vt:variant>
        <vt:i4>0</vt:i4>
      </vt:variant>
      <vt:variant>
        <vt:i4>5</vt:i4>
      </vt:variant>
      <vt:variant>
        <vt:lpwstr>https://european-digital-innovation-hubs.ec.europa.eu/edih-catalogue?f%5B0%5D=country%3ALithuania</vt:lpwstr>
      </vt:variant>
      <vt:variant>
        <vt:lpwstr/>
      </vt:variant>
      <vt:variant>
        <vt:i4>5111895</vt:i4>
      </vt:variant>
      <vt:variant>
        <vt:i4>3</vt:i4>
      </vt:variant>
      <vt:variant>
        <vt:i4>0</vt:i4>
      </vt:variant>
      <vt:variant>
        <vt:i4>5</vt:i4>
      </vt:variant>
      <vt:variant>
        <vt:lpwstr>https://kam.lt/tinklu-ir-informaciniu-sistemu-direktyva/</vt:lpwstr>
      </vt:variant>
      <vt:variant>
        <vt:lpwstr/>
      </vt:variant>
      <vt:variant>
        <vt:i4>18</vt:i4>
      </vt:variant>
      <vt:variant>
        <vt:i4>0</vt:i4>
      </vt:variant>
      <vt:variant>
        <vt:i4>0</vt:i4>
      </vt:variant>
      <vt:variant>
        <vt:i4>5</vt:i4>
      </vt:variant>
      <vt:variant>
        <vt:lpwstr>https://european-digital-innovation-hubs.ec.europa.eu/edih-catalogue?f%5B0%5D=country%3ALithuania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Edita Rudakaitė-Šaukštel</cp:lastModifiedBy>
  <cp:revision>2</cp:revision>
  <dcterms:created xsi:type="dcterms:W3CDTF">2026-01-20T12:34:00Z</dcterms:created>
  <dcterms:modified xsi:type="dcterms:W3CDTF">2026-01-20T12:34:00Z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