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D6AD" w14:textId="17F81114" w:rsidR="00694944" w:rsidRPr="00C5156F" w:rsidRDefault="00694944" w:rsidP="00E868B0">
      <w:pPr>
        <w:jc w:val="center"/>
        <w:outlineLvl w:val="0"/>
        <w:rPr>
          <w:b/>
          <w:bCs/>
        </w:rPr>
      </w:pPr>
      <w:r w:rsidRPr="00C5156F">
        <w:rPr>
          <w:b/>
          <w:bCs/>
        </w:rPr>
        <w:t>PATEIKTŲ PASIŪLYMŲ ĮGYVENDINIMAS</w:t>
      </w:r>
      <w:r w:rsidRPr="00C5156F">
        <w:rPr>
          <w:rStyle w:val="FootnoteReference"/>
          <w:b/>
          <w:bCs/>
        </w:rPr>
        <w:footnoteReference w:id="1"/>
      </w:r>
    </w:p>
    <w:p w14:paraId="711CD6AE" w14:textId="4E25B75C" w:rsidR="00694944" w:rsidRPr="00C5156F" w:rsidRDefault="00694944" w:rsidP="00694944">
      <w:pPr>
        <w:jc w:val="center"/>
        <w:rPr>
          <w:b/>
          <w:bCs/>
        </w:rPr>
      </w:pPr>
    </w:p>
    <w:p w14:paraId="692CC0F2" w14:textId="77777777" w:rsidR="0034418E" w:rsidRDefault="0034418E" w:rsidP="0034418E"/>
    <w:tbl>
      <w:tblPr>
        <w:tblStyle w:val="TableGrid"/>
        <w:tblW w:w="0" w:type="auto"/>
        <w:tblLook w:val="04A0" w:firstRow="1" w:lastRow="0" w:firstColumn="1" w:lastColumn="0" w:noHBand="0" w:noVBand="1"/>
      </w:tblPr>
      <w:tblGrid>
        <w:gridCol w:w="3208"/>
        <w:gridCol w:w="3215"/>
        <w:gridCol w:w="5926"/>
        <w:gridCol w:w="1927"/>
      </w:tblGrid>
      <w:tr w:rsidR="0037500E" w:rsidRPr="002B3452" w14:paraId="2B949321" w14:textId="77777777" w:rsidTr="00187C33">
        <w:tc>
          <w:tcPr>
            <w:tcW w:w="3256" w:type="dxa"/>
          </w:tcPr>
          <w:p w14:paraId="2237D327" w14:textId="77777777" w:rsidR="0037500E" w:rsidRPr="008F1D8D" w:rsidRDefault="0037500E" w:rsidP="00187C33">
            <w:pPr>
              <w:widowControl w:val="0"/>
              <w:jc w:val="center"/>
              <w:rPr>
                <w:i/>
                <w:snapToGrid w:val="0"/>
              </w:rPr>
            </w:pPr>
            <w:r w:rsidRPr="008F1D8D">
              <w:rPr>
                <w:i/>
                <w:snapToGrid w:val="0"/>
              </w:rPr>
              <w:t>Pateiktos pastabos</w:t>
            </w:r>
          </w:p>
        </w:tc>
        <w:tc>
          <w:tcPr>
            <w:tcW w:w="3260" w:type="dxa"/>
          </w:tcPr>
          <w:p w14:paraId="52AC4B25" w14:textId="77777777" w:rsidR="0037500E" w:rsidRPr="008F1D8D" w:rsidRDefault="0037500E" w:rsidP="00187C33">
            <w:pPr>
              <w:widowControl w:val="0"/>
              <w:jc w:val="center"/>
              <w:rPr>
                <w:i/>
                <w:snapToGrid w:val="0"/>
              </w:rPr>
            </w:pPr>
            <w:r w:rsidRPr="008F1D8D">
              <w:rPr>
                <w:i/>
                <w:snapToGrid w:val="0"/>
              </w:rPr>
              <w:t>Pasiūlymai atsižvelgiant į pateiktas pastabas</w:t>
            </w:r>
          </w:p>
        </w:tc>
        <w:tc>
          <w:tcPr>
            <w:tcW w:w="6095" w:type="dxa"/>
          </w:tcPr>
          <w:p w14:paraId="36CBAB53" w14:textId="77777777" w:rsidR="0037500E" w:rsidRPr="008F1D8D" w:rsidRDefault="0037500E" w:rsidP="00187C33">
            <w:pPr>
              <w:widowControl w:val="0"/>
              <w:jc w:val="center"/>
              <w:rPr>
                <w:i/>
                <w:snapToGrid w:val="0"/>
              </w:rPr>
            </w:pPr>
            <w:r w:rsidRPr="008F1D8D">
              <w:rPr>
                <w:i/>
                <w:snapToGrid w:val="0"/>
              </w:rPr>
              <w:t>Duomenys apie pastabų ir pasiūlymų įgyvendinimą</w:t>
            </w:r>
          </w:p>
        </w:tc>
        <w:tc>
          <w:tcPr>
            <w:tcW w:w="1951" w:type="dxa"/>
          </w:tcPr>
          <w:p w14:paraId="3E7863AC" w14:textId="77777777" w:rsidR="0037500E" w:rsidRPr="008F1D8D" w:rsidRDefault="0037500E" w:rsidP="00187C33">
            <w:pPr>
              <w:widowControl w:val="0"/>
              <w:jc w:val="center"/>
              <w:rPr>
                <w:i/>
                <w:snapToGrid w:val="0"/>
              </w:rPr>
            </w:pPr>
            <w:r w:rsidRPr="008F1D8D">
              <w:rPr>
                <w:i/>
                <w:snapToGrid w:val="0"/>
              </w:rPr>
              <w:t>Specialiųjų tyrimų tarnybos vertinimas</w:t>
            </w:r>
          </w:p>
        </w:tc>
      </w:tr>
      <w:tr w:rsidR="0037500E" w:rsidRPr="002B3452" w14:paraId="27BD7A2B" w14:textId="77777777" w:rsidTr="00187C33">
        <w:tc>
          <w:tcPr>
            <w:tcW w:w="14562" w:type="dxa"/>
            <w:gridSpan w:val="4"/>
          </w:tcPr>
          <w:p w14:paraId="7DDD2410" w14:textId="77777777" w:rsidR="0037500E" w:rsidRPr="008F1D8D" w:rsidRDefault="0037500E" w:rsidP="00187C33">
            <w:pPr>
              <w:pStyle w:val="ListParagraph"/>
              <w:widowControl w:val="0"/>
              <w:numPr>
                <w:ilvl w:val="0"/>
                <w:numId w:val="1"/>
              </w:numPr>
              <w:jc w:val="center"/>
              <w:rPr>
                <w:i/>
                <w:snapToGrid w:val="0"/>
              </w:rPr>
            </w:pPr>
            <w:r w:rsidRPr="008F1D8D">
              <w:rPr>
                <w:i/>
                <w:snapToGrid w:val="0"/>
              </w:rPr>
              <w:t>Kritinės antikorupcinės pastabos</w:t>
            </w:r>
          </w:p>
        </w:tc>
      </w:tr>
      <w:tr w:rsidR="0037500E" w:rsidRPr="002B3452" w14:paraId="578637E3" w14:textId="77777777" w:rsidTr="00187C33">
        <w:tc>
          <w:tcPr>
            <w:tcW w:w="3256" w:type="dxa"/>
          </w:tcPr>
          <w:p w14:paraId="2B047CF1" w14:textId="77777777" w:rsidR="0037500E" w:rsidRPr="002B3452" w:rsidRDefault="0037500E" w:rsidP="00187C33">
            <w:pPr>
              <w:widowControl w:val="0"/>
              <w:rPr>
                <w:snapToGrid w:val="0"/>
              </w:rPr>
            </w:pPr>
          </w:p>
        </w:tc>
        <w:tc>
          <w:tcPr>
            <w:tcW w:w="3260" w:type="dxa"/>
          </w:tcPr>
          <w:p w14:paraId="663A01AA" w14:textId="77777777" w:rsidR="0037500E" w:rsidRPr="002B3452" w:rsidRDefault="0037500E" w:rsidP="00187C33">
            <w:pPr>
              <w:widowControl w:val="0"/>
              <w:rPr>
                <w:snapToGrid w:val="0"/>
              </w:rPr>
            </w:pPr>
          </w:p>
        </w:tc>
        <w:tc>
          <w:tcPr>
            <w:tcW w:w="6095" w:type="dxa"/>
          </w:tcPr>
          <w:p w14:paraId="5A5EC7F9" w14:textId="77777777" w:rsidR="0037500E" w:rsidRPr="002B3452" w:rsidRDefault="0037500E" w:rsidP="00187C33">
            <w:pPr>
              <w:widowControl w:val="0"/>
              <w:rPr>
                <w:snapToGrid w:val="0"/>
              </w:rPr>
            </w:pPr>
          </w:p>
        </w:tc>
        <w:tc>
          <w:tcPr>
            <w:tcW w:w="1951" w:type="dxa"/>
          </w:tcPr>
          <w:p w14:paraId="012A86E9" w14:textId="77777777" w:rsidR="0037500E" w:rsidRPr="002B3452" w:rsidRDefault="0037500E" w:rsidP="00187C33">
            <w:pPr>
              <w:widowControl w:val="0"/>
              <w:rPr>
                <w:snapToGrid w:val="0"/>
              </w:rPr>
            </w:pPr>
          </w:p>
        </w:tc>
      </w:tr>
      <w:tr w:rsidR="0037500E" w:rsidRPr="002B3452" w14:paraId="3D6A8FFD" w14:textId="77777777" w:rsidTr="00187C33">
        <w:tc>
          <w:tcPr>
            <w:tcW w:w="3256" w:type="dxa"/>
          </w:tcPr>
          <w:p w14:paraId="531AF5DA" w14:textId="77777777" w:rsidR="0037500E" w:rsidRPr="002B3452" w:rsidRDefault="0037500E" w:rsidP="00187C33">
            <w:pPr>
              <w:widowControl w:val="0"/>
              <w:rPr>
                <w:snapToGrid w:val="0"/>
              </w:rPr>
            </w:pPr>
          </w:p>
        </w:tc>
        <w:tc>
          <w:tcPr>
            <w:tcW w:w="3260" w:type="dxa"/>
          </w:tcPr>
          <w:p w14:paraId="4C569133" w14:textId="77777777" w:rsidR="0037500E" w:rsidRPr="002B3452" w:rsidRDefault="0037500E" w:rsidP="00187C33">
            <w:pPr>
              <w:widowControl w:val="0"/>
              <w:rPr>
                <w:snapToGrid w:val="0"/>
              </w:rPr>
            </w:pPr>
          </w:p>
        </w:tc>
        <w:tc>
          <w:tcPr>
            <w:tcW w:w="6095" w:type="dxa"/>
          </w:tcPr>
          <w:p w14:paraId="300D25AC" w14:textId="77777777" w:rsidR="0037500E" w:rsidRPr="002B3452" w:rsidRDefault="0037500E" w:rsidP="00187C33">
            <w:pPr>
              <w:widowControl w:val="0"/>
              <w:rPr>
                <w:snapToGrid w:val="0"/>
              </w:rPr>
            </w:pPr>
          </w:p>
        </w:tc>
        <w:tc>
          <w:tcPr>
            <w:tcW w:w="1951" w:type="dxa"/>
          </w:tcPr>
          <w:p w14:paraId="036B10A7" w14:textId="77777777" w:rsidR="0037500E" w:rsidRPr="002B3452" w:rsidRDefault="0037500E" w:rsidP="00187C33">
            <w:pPr>
              <w:widowControl w:val="0"/>
              <w:rPr>
                <w:snapToGrid w:val="0"/>
              </w:rPr>
            </w:pPr>
          </w:p>
        </w:tc>
      </w:tr>
      <w:tr w:rsidR="0037500E" w:rsidRPr="002B3452" w14:paraId="4FBF67F6" w14:textId="77777777" w:rsidTr="00187C33">
        <w:tc>
          <w:tcPr>
            <w:tcW w:w="3256" w:type="dxa"/>
          </w:tcPr>
          <w:p w14:paraId="3C22B507" w14:textId="77777777" w:rsidR="0037500E" w:rsidRPr="002B3452" w:rsidRDefault="0037500E" w:rsidP="00187C33">
            <w:pPr>
              <w:widowControl w:val="0"/>
              <w:rPr>
                <w:snapToGrid w:val="0"/>
              </w:rPr>
            </w:pPr>
          </w:p>
        </w:tc>
        <w:tc>
          <w:tcPr>
            <w:tcW w:w="3260" w:type="dxa"/>
          </w:tcPr>
          <w:p w14:paraId="1A879866" w14:textId="77777777" w:rsidR="0037500E" w:rsidRPr="002B3452" w:rsidRDefault="0037500E" w:rsidP="00187C33">
            <w:pPr>
              <w:widowControl w:val="0"/>
              <w:rPr>
                <w:snapToGrid w:val="0"/>
              </w:rPr>
            </w:pPr>
          </w:p>
        </w:tc>
        <w:tc>
          <w:tcPr>
            <w:tcW w:w="6095" w:type="dxa"/>
          </w:tcPr>
          <w:p w14:paraId="5EEE4623" w14:textId="77777777" w:rsidR="0037500E" w:rsidRPr="002B3452" w:rsidRDefault="0037500E" w:rsidP="00187C33">
            <w:pPr>
              <w:widowControl w:val="0"/>
              <w:rPr>
                <w:snapToGrid w:val="0"/>
              </w:rPr>
            </w:pPr>
          </w:p>
        </w:tc>
        <w:tc>
          <w:tcPr>
            <w:tcW w:w="1951" w:type="dxa"/>
          </w:tcPr>
          <w:p w14:paraId="760598AF" w14:textId="77777777" w:rsidR="0037500E" w:rsidRPr="002B3452" w:rsidRDefault="0037500E" w:rsidP="00187C33">
            <w:pPr>
              <w:widowControl w:val="0"/>
              <w:rPr>
                <w:snapToGrid w:val="0"/>
              </w:rPr>
            </w:pPr>
          </w:p>
        </w:tc>
      </w:tr>
      <w:tr w:rsidR="0037500E" w:rsidRPr="002B3452" w14:paraId="22959D72" w14:textId="77777777" w:rsidTr="00187C33">
        <w:tc>
          <w:tcPr>
            <w:tcW w:w="14562" w:type="dxa"/>
            <w:gridSpan w:val="4"/>
          </w:tcPr>
          <w:p w14:paraId="7D0421E7" w14:textId="77777777" w:rsidR="0037500E" w:rsidRPr="008F1D8D" w:rsidRDefault="0037500E" w:rsidP="00187C33">
            <w:pPr>
              <w:pStyle w:val="ListParagraph"/>
              <w:widowControl w:val="0"/>
              <w:numPr>
                <w:ilvl w:val="0"/>
                <w:numId w:val="1"/>
              </w:numPr>
              <w:jc w:val="center"/>
              <w:rPr>
                <w:i/>
                <w:snapToGrid w:val="0"/>
              </w:rPr>
            </w:pPr>
            <w:r w:rsidRPr="008F1D8D">
              <w:rPr>
                <w:i/>
                <w:snapToGrid w:val="0"/>
              </w:rPr>
              <w:t>Kitos antikorupcinės pastabos</w:t>
            </w:r>
          </w:p>
        </w:tc>
      </w:tr>
      <w:tr w:rsidR="0037500E" w:rsidRPr="002B3452" w14:paraId="5F7D1D8A" w14:textId="77777777" w:rsidTr="00187C33">
        <w:tc>
          <w:tcPr>
            <w:tcW w:w="3256" w:type="dxa"/>
          </w:tcPr>
          <w:p w14:paraId="60C5E213" w14:textId="017C225C" w:rsidR="0037500E" w:rsidRPr="002B3452" w:rsidRDefault="00832880" w:rsidP="00187C33">
            <w:pPr>
              <w:widowControl w:val="0"/>
              <w:rPr>
                <w:snapToGrid w:val="0"/>
              </w:rPr>
            </w:pPr>
            <w:r>
              <w:rPr>
                <w:snapToGrid w:val="0"/>
              </w:rPr>
              <w:t>6.</w:t>
            </w:r>
            <w:r w:rsidR="00BA168A">
              <w:rPr>
                <w:snapToGrid w:val="0"/>
              </w:rPr>
              <w:t xml:space="preserve"> </w:t>
            </w:r>
            <w:r w:rsidR="00AF20C3" w:rsidRPr="00075A6F">
              <w:t>Nesant informacijos prieinamumui ir viešumui, teisinių paslaugų, įsigytų pagal VPĮ išimtį, procese gali būti sudaromos prielaidos subjektyviems sprendimams, neskaidriems susitarimams, taip pat nepaskelbus 7 sutarčių reikiamos informacijos ministerijos interneto svetainėje ir teisės akto projekto lydimuosiuose dokumentuose (kai taikoma), kaip nustatyta TPĮ 11 str., apribojama visuomenės galimybė ir teisė žinoti apie tokių paslaugų įsigijimą bei, atitinkamai, įvairių subjektų dalyvavimą teisėkūros procese</w:t>
            </w:r>
            <w:r>
              <w:rPr>
                <w:snapToGrid w:val="0"/>
              </w:rPr>
              <w:t xml:space="preserve"> </w:t>
            </w:r>
          </w:p>
        </w:tc>
        <w:tc>
          <w:tcPr>
            <w:tcW w:w="3260" w:type="dxa"/>
          </w:tcPr>
          <w:p w14:paraId="68920C92" w14:textId="77777777" w:rsidR="00C50888" w:rsidRPr="00C50888" w:rsidRDefault="00C50888" w:rsidP="00C50888">
            <w:pPr>
              <w:spacing w:line="360" w:lineRule="auto"/>
              <w:jc w:val="both"/>
            </w:pPr>
            <w:r w:rsidRPr="00C50888">
              <w:rPr>
                <w:snapToGrid w:val="0"/>
              </w:rPr>
              <w:t xml:space="preserve">6.3. </w:t>
            </w:r>
            <w:r w:rsidRPr="00C50888">
              <w:rPr>
                <w:b/>
                <w:bCs/>
              </w:rPr>
              <w:t>Ekonomikos ir inovacijų ministerijai</w:t>
            </w:r>
            <w:r w:rsidRPr="00C50888">
              <w:t xml:space="preserve"> – pirkimų, kuriems taikoma VPĮ išimtis, parengtoje tvarkoje (kaip nurodyta 3.2. poskyrio pasiūlyme) nustatyti tokių pirkimų pagrindu sudarytų sutarčių informacijos paskelbimo priemones bei nustatyti kontrolės priemones, skirtas užtikrinti šių nuostatų įgyvendinimą;</w:t>
            </w:r>
          </w:p>
          <w:p w14:paraId="227ECD91" w14:textId="45F92843" w:rsidR="0037500E" w:rsidRPr="002B3452" w:rsidRDefault="0037500E" w:rsidP="00C50888">
            <w:pPr>
              <w:widowControl w:val="0"/>
              <w:rPr>
                <w:snapToGrid w:val="0"/>
              </w:rPr>
            </w:pPr>
          </w:p>
        </w:tc>
        <w:tc>
          <w:tcPr>
            <w:tcW w:w="6095" w:type="dxa"/>
          </w:tcPr>
          <w:p w14:paraId="79450C5E" w14:textId="77777777" w:rsidR="006D4325" w:rsidRPr="000F31B3" w:rsidRDefault="006D4325" w:rsidP="006D4325">
            <w:pPr>
              <w:jc w:val="center"/>
              <w:outlineLvl w:val="0"/>
              <w:rPr>
                <w:b/>
                <w:bCs/>
                <w:color w:val="EE0000"/>
                <w:u w:val="single"/>
              </w:rPr>
            </w:pPr>
            <w:r w:rsidRPr="000F31B3">
              <w:rPr>
                <w:b/>
                <w:bCs/>
                <w:color w:val="EE0000"/>
                <w:u w:val="single"/>
              </w:rPr>
              <w:t>Informacija dar yra rengiama</w:t>
            </w:r>
          </w:p>
          <w:p w14:paraId="75A10545" w14:textId="77777777" w:rsidR="0037500E" w:rsidRPr="002B3452" w:rsidRDefault="0037500E" w:rsidP="00187C33">
            <w:pPr>
              <w:widowControl w:val="0"/>
              <w:rPr>
                <w:snapToGrid w:val="0"/>
              </w:rPr>
            </w:pPr>
          </w:p>
        </w:tc>
        <w:tc>
          <w:tcPr>
            <w:tcW w:w="1951" w:type="dxa"/>
          </w:tcPr>
          <w:p w14:paraId="3D5420DA" w14:textId="77777777" w:rsidR="0037500E" w:rsidRPr="002B3452" w:rsidRDefault="0037500E" w:rsidP="00187C33">
            <w:pPr>
              <w:widowControl w:val="0"/>
              <w:rPr>
                <w:snapToGrid w:val="0"/>
              </w:rPr>
            </w:pPr>
          </w:p>
        </w:tc>
      </w:tr>
      <w:tr w:rsidR="0037500E" w:rsidRPr="002B3452" w14:paraId="5895B7B1" w14:textId="77777777" w:rsidTr="00187C33">
        <w:tc>
          <w:tcPr>
            <w:tcW w:w="3256" w:type="dxa"/>
          </w:tcPr>
          <w:p w14:paraId="5DE328DF" w14:textId="02F5ECB1" w:rsidR="0037500E" w:rsidRPr="002B3452" w:rsidRDefault="00A1526A" w:rsidP="00187C33">
            <w:pPr>
              <w:widowControl w:val="0"/>
              <w:rPr>
                <w:snapToGrid w:val="0"/>
              </w:rPr>
            </w:pPr>
            <w:r w:rsidRPr="00075A6F">
              <w:lastRenderedPageBreak/>
              <w:t xml:space="preserve">7. </w:t>
            </w:r>
            <w:r w:rsidRPr="00645DCE">
              <w:t xml:space="preserve">Nei vienoje iš ministerijų, kurios neturėjo patvirtintų tvarkų, tačiau sudarė atstovavimo ir teisinių konsultacijų paslaugų sutartis pagal VPĮ nustatytą išimtį, ši sritis nebuvo įtraukta nei į korupcijos prevencijos priemones, kurios įgyvendinamos viešojo sektoriaus subjektų, nei į ministerijų centralizuotų vidaus audito metinius planus, o tai ribojo galimybes </w:t>
            </w:r>
            <w:proofErr w:type="spellStart"/>
            <w:r w:rsidRPr="00645DCE">
              <w:t>proaktyvių</w:t>
            </w:r>
            <w:proofErr w:type="spellEnd"/>
            <w:r w:rsidRPr="00645DCE">
              <w:t xml:space="preserve"> korupcijos riziką mažinančių veiksmų diegimui bei vidaus kontrolės tobulinimui. Šių pirkimų vykdymo procedūros taip pat nepatenka į VPT pirkimų pažeidimų prevencijos ir kontrolės atsakomybės sritį. Antikorupciniu požiūriu tai kelią rizikas, susijusias su visais pirkimų procedūros etapais, sudaro sąlygas piktnaudžiavimui, neteisėtiems, nepagrįstiems sprendimams, gali turėti neigiamą įtaką konkurencijai ir visuomenės pasitikėjimui viešųjų subjektų galimybe efektyviai ir skaidriai valdyti viešuosius finansus</w:t>
            </w:r>
          </w:p>
        </w:tc>
        <w:tc>
          <w:tcPr>
            <w:tcW w:w="3260" w:type="dxa"/>
          </w:tcPr>
          <w:p w14:paraId="2FB5742F" w14:textId="77777777" w:rsidR="002479E4" w:rsidRPr="00075A6F" w:rsidRDefault="002479E4" w:rsidP="002479E4">
            <w:pPr>
              <w:spacing w:line="360" w:lineRule="auto"/>
              <w:jc w:val="both"/>
            </w:pPr>
            <w:r w:rsidRPr="00075A6F">
              <w:rPr>
                <w:b/>
                <w:bCs/>
              </w:rPr>
              <w:t>Ekonomikos ir inovacijų ministerijai</w:t>
            </w:r>
            <w:r w:rsidRPr="00075A6F">
              <w:t xml:space="preserve">: </w:t>
            </w:r>
          </w:p>
          <w:p w14:paraId="5F370DC8" w14:textId="77777777" w:rsidR="002479E4" w:rsidRPr="00645DCE" w:rsidRDefault="002479E4" w:rsidP="002479E4">
            <w:pPr>
              <w:pStyle w:val="ListParagraph"/>
              <w:numPr>
                <w:ilvl w:val="1"/>
                <w:numId w:val="3"/>
              </w:numPr>
              <w:spacing w:line="360" w:lineRule="auto"/>
              <w:jc w:val="both"/>
              <w:rPr>
                <w:szCs w:val="24"/>
              </w:rPr>
            </w:pPr>
            <w:r>
              <w:rPr>
                <w:szCs w:val="24"/>
              </w:rPr>
              <w:t xml:space="preserve"> </w:t>
            </w:r>
            <w:r w:rsidRPr="00645DCE">
              <w:rPr>
                <w:szCs w:val="24"/>
              </w:rPr>
              <w:t xml:space="preserve">nustatyti pirkimų, atliekamų taikant VPĮ 6 str. 4 d. a ir b papunkčių išimtį, pažeidimų prevencijos ir priežiūros sistemą (atsakomybes); </w:t>
            </w:r>
          </w:p>
          <w:p w14:paraId="5E18A246" w14:textId="77777777" w:rsidR="002479E4" w:rsidRPr="00645DCE" w:rsidRDefault="002479E4" w:rsidP="002479E4">
            <w:pPr>
              <w:pStyle w:val="ListParagraph"/>
              <w:numPr>
                <w:ilvl w:val="1"/>
                <w:numId w:val="3"/>
              </w:numPr>
              <w:spacing w:line="360" w:lineRule="auto"/>
              <w:jc w:val="both"/>
              <w:rPr>
                <w:szCs w:val="24"/>
              </w:rPr>
            </w:pPr>
            <w:r w:rsidRPr="00645DCE">
              <w:rPr>
                <w:szCs w:val="24"/>
              </w:rPr>
              <w:t xml:space="preserve">nustatyti kitų išimčių, nurodytų VPĮ 6 str., kuriems netaikomi VPĮ nustatyti reikalavimai, pažeidimų prevencijos ir priežiūros sistemą (atsakomybes); </w:t>
            </w:r>
          </w:p>
          <w:p w14:paraId="7216317E" w14:textId="77777777" w:rsidR="002479E4" w:rsidRDefault="002479E4" w:rsidP="002479E4">
            <w:pPr>
              <w:pStyle w:val="ListParagraph"/>
              <w:numPr>
                <w:ilvl w:val="1"/>
                <w:numId w:val="3"/>
              </w:numPr>
              <w:spacing w:line="360" w:lineRule="auto"/>
              <w:jc w:val="both"/>
              <w:rPr>
                <w:szCs w:val="24"/>
              </w:rPr>
            </w:pPr>
            <w:r>
              <w:rPr>
                <w:szCs w:val="24"/>
              </w:rPr>
              <w:t xml:space="preserve">periodiškai </w:t>
            </w:r>
            <w:r w:rsidRPr="00D839F6">
              <w:rPr>
                <w:szCs w:val="24"/>
              </w:rPr>
              <w:t>įvertinti teisinių paslaugų pirkimų, kuriems taikoma VPĮ išimtis</w:t>
            </w:r>
            <w:r>
              <w:rPr>
                <w:szCs w:val="24"/>
              </w:rPr>
              <w:t>,</w:t>
            </w:r>
            <w:r w:rsidRPr="00D839F6">
              <w:rPr>
                <w:szCs w:val="24"/>
              </w:rPr>
              <w:t xml:space="preserve"> vykdymo, sutarties sudarymo ir įgyvendinimo procedūrų rizikingumą bei, atsižvelgiant į vertinimo rezultatus, nustatyti </w:t>
            </w:r>
            <w:r w:rsidRPr="00D839F6">
              <w:rPr>
                <w:szCs w:val="24"/>
              </w:rPr>
              <w:lastRenderedPageBreak/>
              <w:t>atitinkamas rizikos valdymo priemones</w:t>
            </w:r>
            <w:r>
              <w:rPr>
                <w:szCs w:val="24"/>
              </w:rPr>
              <w:t>;</w:t>
            </w:r>
          </w:p>
          <w:p w14:paraId="6EA3E8DF" w14:textId="77777777" w:rsidR="0037500E" w:rsidRPr="002B3452" w:rsidRDefault="0037500E" w:rsidP="00187C33">
            <w:pPr>
              <w:widowControl w:val="0"/>
              <w:rPr>
                <w:snapToGrid w:val="0"/>
              </w:rPr>
            </w:pPr>
          </w:p>
        </w:tc>
        <w:tc>
          <w:tcPr>
            <w:tcW w:w="6095" w:type="dxa"/>
          </w:tcPr>
          <w:p w14:paraId="1CF1A7C2" w14:textId="77777777" w:rsidR="006D4325" w:rsidRPr="000F31B3" w:rsidRDefault="006D4325" w:rsidP="006D4325">
            <w:pPr>
              <w:jc w:val="center"/>
              <w:outlineLvl w:val="0"/>
              <w:rPr>
                <w:b/>
                <w:bCs/>
                <w:color w:val="EE0000"/>
                <w:u w:val="single"/>
              </w:rPr>
            </w:pPr>
            <w:r w:rsidRPr="000F31B3">
              <w:rPr>
                <w:b/>
                <w:bCs/>
                <w:color w:val="EE0000"/>
                <w:u w:val="single"/>
              </w:rPr>
              <w:lastRenderedPageBreak/>
              <w:t>Informacija dar yra rengiama</w:t>
            </w:r>
          </w:p>
          <w:p w14:paraId="2129A880" w14:textId="77777777" w:rsidR="0037500E" w:rsidRPr="002B3452" w:rsidRDefault="0037500E" w:rsidP="00187C33">
            <w:pPr>
              <w:widowControl w:val="0"/>
              <w:rPr>
                <w:snapToGrid w:val="0"/>
              </w:rPr>
            </w:pPr>
          </w:p>
        </w:tc>
        <w:tc>
          <w:tcPr>
            <w:tcW w:w="1951" w:type="dxa"/>
          </w:tcPr>
          <w:p w14:paraId="56320925" w14:textId="77777777" w:rsidR="0037500E" w:rsidRPr="002B3452" w:rsidRDefault="0037500E" w:rsidP="00187C33">
            <w:pPr>
              <w:widowControl w:val="0"/>
              <w:rPr>
                <w:snapToGrid w:val="0"/>
              </w:rPr>
            </w:pPr>
          </w:p>
        </w:tc>
      </w:tr>
      <w:tr w:rsidR="0037500E" w:rsidRPr="002B3452" w14:paraId="70DABA35" w14:textId="77777777" w:rsidTr="00187C33">
        <w:tc>
          <w:tcPr>
            <w:tcW w:w="3256" w:type="dxa"/>
          </w:tcPr>
          <w:p w14:paraId="02B4E6AF" w14:textId="77777777" w:rsidR="0037500E" w:rsidRPr="002B3452" w:rsidRDefault="0037500E" w:rsidP="00187C33">
            <w:pPr>
              <w:widowControl w:val="0"/>
              <w:rPr>
                <w:snapToGrid w:val="0"/>
              </w:rPr>
            </w:pPr>
          </w:p>
        </w:tc>
        <w:tc>
          <w:tcPr>
            <w:tcW w:w="3260" w:type="dxa"/>
          </w:tcPr>
          <w:p w14:paraId="710271D5" w14:textId="77777777" w:rsidR="0037500E" w:rsidRPr="002B3452" w:rsidRDefault="0037500E" w:rsidP="00187C33">
            <w:pPr>
              <w:widowControl w:val="0"/>
              <w:rPr>
                <w:snapToGrid w:val="0"/>
              </w:rPr>
            </w:pPr>
          </w:p>
        </w:tc>
        <w:tc>
          <w:tcPr>
            <w:tcW w:w="6095" w:type="dxa"/>
          </w:tcPr>
          <w:p w14:paraId="05D5E34F" w14:textId="77777777" w:rsidR="0037500E" w:rsidRPr="002B3452" w:rsidRDefault="0037500E" w:rsidP="00187C33">
            <w:pPr>
              <w:widowControl w:val="0"/>
              <w:rPr>
                <w:snapToGrid w:val="0"/>
              </w:rPr>
            </w:pPr>
          </w:p>
        </w:tc>
        <w:tc>
          <w:tcPr>
            <w:tcW w:w="1951" w:type="dxa"/>
          </w:tcPr>
          <w:p w14:paraId="797DF987" w14:textId="77777777" w:rsidR="0037500E" w:rsidRPr="002B3452" w:rsidRDefault="0037500E" w:rsidP="00187C33">
            <w:pPr>
              <w:widowControl w:val="0"/>
              <w:rPr>
                <w:snapToGrid w:val="0"/>
              </w:rPr>
            </w:pPr>
          </w:p>
        </w:tc>
      </w:tr>
      <w:tr w:rsidR="0037500E" w:rsidRPr="002B3452" w14:paraId="6A3D74DF" w14:textId="77777777" w:rsidTr="00187C33">
        <w:tc>
          <w:tcPr>
            <w:tcW w:w="14562" w:type="dxa"/>
            <w:gridSpan w:val="4"/>
          </w:tcPr>
          <w:p w14:paraId="1226815D" w14:textId="77777777" w:rsidR="0037500E" w:rsidRPr="008F1D8D" w:rsidRDefault="0037500E" w:rsidP="00187C33">
            <w:pPr>
              <w:pStyle w:val="ListParagraph"/>
              <w:widowControl w:val="0"/>
              <w:numPr>
                <w:ilvl w:val="0"/>
                <w:numId w:val="1"/>
              </w:numPr>
              <w:jc w:val="center"/>
              <w:rPr>
                <w:i/>
                <w:snapToGrid w:val="0"/>
              </w:rPr>
            </w:pPr>
            <w:r w:rsidRPr="008F1D8D">
              <w:rPr>
                <w:i/>
                <w:snapToGrid w:val="0"/>
              </w:rPr>
              <w:t>Kitos pastabos</w:t>
            </w:r>
          </w:p>
        </w:tc>
      </w:tr>
      <w:tr w:rsidR="0037500E" w:rsidRPr="002B3452" w14:paraId="164F2D41" w14:textId="77777777" w:rsidTr="00187C33">
        <w:tc>
          <w:tcPr>
            <w:tcW w:w="3256" w:type="dxa"/>
          </w:tcPr>
          <w:p w14:paraId="52B96FAB" w14:textId="77777777" w:rsidR="0037500E" w:rsidRPr="002B3452" w:rsidRDefault="0037500E" w:rsidP="00187C33">
            <w:pPr>
              <w:widowControl w:val="0"/>
              <w:rPr>
                <w:snapToGrid w:val="0"/>
              </w:rPr>
            </w:pPr>
          </w:p>
        </w:tc>
        <w:tc>
          <w:tcPr>
            <w:tcW w:w="3260" w:type="dxa"/>
          </w:tcPr>
          <w:p w14:paraId="2EFDD91A" w14:textId="77777777" w:rsidR="0037500E" w:rsidRPr="002B3452" w:rsidRDefault="0037500E" w:rsidP="00187C33">
            <w:pPr>
              <w:widowControl w:val="0"/>
              <w:rPr>
                <w:snapToGrid w:val="0"/>
              </w:rPr>
            </w:pPr>
          </w:p>
        </w:tc>
        <w:tc>
          <w:tcPr>
            <w:tcW w:w="6095" w:type="dxa"/>
          </w:tcPr>
          <w:p w14:paraId="5B7E7616" w14:textId="77777777" w:rsidR="0037500E" w:rsidRPr="002B3452" w:rsidRDefault="0037500E" w:rsidP="00187C33">
            <w:pPr>
              <w:widowControl w:val="0"/>
              <w:rPr>
                <w:snapToGrid w:val="0"/>
              </w:rPr>
            </w:pPr>
          </w:p>
        </w:tc>
        <w:tc>
          <w:tcPr>
            <w:tcW w:w="1951" w:type="dxa"/>
          </w:tcPr>
          <w:p w14:paraId="1D851A50" w14:textId="77777777" w:rsidR="0037500E" w:rsidRPr="002B3452" w:rsidRDefault="0037500E" w:rsidP="00187C33">
            <w:pPr>
              <w:widowControl w:val="0"/>
              <w:rPr>
                <w:snapToGrid w:val="0"/>
              </w:rPr>
            </w:pPr>
          </w:p>
        </w:tc>
      </w:tr>
      <w:tr w:rsidR="0037500E" w:rsidRPr="002B3452" w14:paraId="16E7A663" w14:textId="77777777" w:rsidTr="00187C33">
        <w:tc>
          <w:tcPr>
            <w:tcW w:w="3256" w:type="dxa"/>
          </w:tcPr>
          <w:p w14:paraId="7687E74F" w14:textId="77777777" w:rsidR="0037500E" w:rsidRPr="002B3452" w:rsidRDefault="0037500E" w:rsidP="00187C33">
            <w:pPr>
              <w:widowControl w:val="0"/>
              <w:rPr>
                <w:snapToGrid w:val="0"/>
              </w:rPr>
            </w:pPr>
          </w:p>
        </w:tc>
        <w:tc>
          <w:tcPr>
            <w:tcW w:w="3260" w:type="dxa"/>
          </w:tcPr>
          <w:p w14:paraId="56C1B397" w14:textId="77777777" w:rsidR="0037500E" w:rsidRPr="002B3452" w:rsidRDefault="0037500E" w:rsidP="00187C33">
            <w:pPr>
              <w:widowControl w:val="0"/>
              <w:rPr>
                <w:snapToGrid w:val="0"/>
              </w:rPr>
            </w:pPr>
          </w:p>
        </w:tc>
        <w:tc>
          <w:tcPr>
            <w:tcW w:w="6095" w:type="dxa"/>
          </w:tcPr>
          <w:p w14:paraId="6013854A" w14:textId="77777777" w:rsidR="0037500E" w:rsidRPr="002B3452" w:rsidRDefault="0037500E" w:rsidP="00187C33">
            <w:pPr>
              <w:widowControl w:val="0"/>
              <w:rPr>
                <w:snapToGrid w:val="0"/>
              </w:rPr>
            </w:pPr>
          </w:p>
        </w:tc>
        <w:tc>
          <w:tcPr>
            <w:tcW w:w="1951" w:type="dxa"/>
          </w:tcPr>
          <w:p w14:paraId="67ED5520" w14:textId="77777777" w:rsidR="0037500E" w:rsidRPr="002B3452" w:rsidRDefault="0037500E" w:rsidP="00187C33">
            <w:pPr>
              <w:widowControl w:val="0"/>
              <w:rPr>
                <w:snapToGrid w:val="0"/>
              </w:rPr>
            </w:pPr>
          </w:p>
        </w:tc>
      </w:tr>
      <w:tr w:rsidR="0037500E" w:rsidRPr="002B3452" w14:paraId="2E802B51" w14:textId="77777777" w:rsidTr="00187C33">
        <w:tc>
          <w:tcPr>
            <w:tcW w:w="3256" w:type="dxa"/>
          </w:tcPr>
          <w:p w14:paraId="4FE6DDCF" w14:textId="77777777" w:rsidR="0037500E" w:rsidRPr="002B3452" w:rsidRDefault="0037500E" w:rsidP="00187C33">
            <w:pPr>
              <w:widowControl w:val="0"/>
              <w:rPr>
                <w:snapToGrid w:val="0"/>
              </w:rPr>
            </w:pPr>
          </w:p>
        </w:tc>
        <w:tc>
          <w:tcPr>
            <w:tcW w:w="3260" w:type="dxa"/>
          </w:tcPr>
          <w:p w14:paraId="66D830BA" w14:textId="77777777" w:rsidR="0037500E" w:rsidRPr="002B3452" w:rsidRDefault="0037500E" w:rsidP="00187C33">
            <w:pPr>
              <w:widowControl w:val="0"/>
              <w:rPr>
                <w:snapToGrid w:val="0"/>
              </w:rPr>
            </w:pPr>
          </w:p>
        </w:tc>
        <w:tc>
          <w:tcPr>
            <w:tcW w:w="6095" w:type="dxa"/>
          </w:tcPr>
          <w:p w14:paraId="0ED24A4E" w14:textId="77777777" w:rsidR="0037500E" w:rsidRPr="002B3452" w:rsidRDefault="0037500E" w:rsidP="00187C33">
            <w:pPr>
              <w:widowControl w:val="0"/>
              <w:rPr>
                <w:snapToGrid w:val="0"/>
              </w:rPr>
            </w:pPr>
          </w:p>
        </w:tc>
        <w:tc>
          <w:tcPr>
            <w:tcW w:w="1951" w:type="dxa"/>
          </w:tcPr>
          <w:p w14:paraId="34795A0B" w14:textId="77777777" w:rsidR="0037500E" w:rsidRPr="002B3452" w:rsidRDefault="0037500E" w:rsidP="00187C33">
            <w:pPr>
              <w:widowControl w:val="0"/>
              <w:rPr>
                <w:snapToGrid w:val="0"/>
              </w:rPr>
            </w:pPr>
          </w:p>
        </w:tc>
      </w:tr>
    </w:tbl>
    <w:p w14:paraId="4B5C8188" w14:textId="77777777" w:rsidR="0034418E" w:rsidRDefault="0034418E" w:rsidP="0034418E">
      <w:pPr>
        <w:spacing w:line="360" w:lineRule="auto"/>
        <w:ind w:firstLine="851"/>
        <w:jc w:val="center"/>
        <w:rPr>
          <w:lang w:eastAsia="en-US"/>
        </w:rPr>
      </w:pPr>
    </w:p>
    <w:p w14:paraId="711CD6BD" w14:textId="1AA67C1D" w:rsidR="000C5806" w:rsidRDefault="0034418E" w:rsidP="0034418E">
      <w:pPr>
        <w:jc w:val="center"/>
      </w:pPr>
      <w:r>
        <w:t>____________</w:t>
      </w:r>
    </w:p>
    <w:sectPr w:rsidR="000C5806" w:rsidSect="0037500E">
      <w:footnotePr>
        <w:numFmt w:val="chicago"/>
      </w:footnotePr>
      <w:pgSz w:w="16838" w:h="11906" w:orient="landscape"/>
      <w:pgMar w:top="1701"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099DB" w14:textId="77777777" w:rsidR="00ED0942" w:rsidRDefault="00ED0942" w:rsidP="00694944">
      <w:r>
        <w:separator/>
      </w:r>
    </w:p>
  </w:endnote>
  <w:endnote w:type="continuationSeparator" w:id="0">
    <w:p w14:paraId="7C4EDD5E" w14:textId="77777777" w:rsidR="00ED0942" w:rsidRDefault="00ED0942" w:rsidP="0069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907A4" w14:textId="77777777" w:rsidR="00ED0942" w:rsidRDefault="00ED0942" w:rsidP="00694944">
      <w:r>
        <w:separator/>
      </w:r>
    </w:p>
  </w:footnote>
  <w:footnote w:type="continuationSeparator" w:id="0">
    <w:p w14:paraId="75EAAC21" w14:textId="77777777" w:rsidR="00ED0942" w:rsidRDefault="00ED0942" w:rsidP="00694944">
      <w:r>
        <w:continuationSeparator/>
      </w:r>
    </w:p>
  </w:footnote>
  <w:footnote w:id="1">
    <w:p w14:paraId="711CD6C2" w14:textId="3CCA4899" w:rsidR="00694944" w:rsidRPr="0013385B" w:rsidRDefault="00694944" w:rsidP="00694944">
      <w:pPr>
        <w:pStyle w:val="FootnoteText"/>
        <w:jc w:val="both"/>
        <w:rPr>
          <w:rFonts w:ascii="Times New Roman" w:hAnsi="Times New Roman"/>
        </w:rPr>
      </w:pPr>
      <w:r w:rsidRPr="00770A2D">
        <w:rPr>
          <w:rStyle w:val="FootnoteReference"/>
          <w:rFonts w:ascii="Times New Roman" w:hAnsi="Times New Roman"/>
        </w:rPr>
        <w:footnoteRef/>
      </w:r>
      <w:r w:rsidRPr="00770A2D">
        <w:rPr>
          <w:rFonts w:ascii="Times New Roman" w:hAnsi="Times New Roman"/>
          <w:bCs/>
        </w:rPr>
        <w:t xml:space="preserve"> Informaciją apie išvadoje dėl korupcijos rizikos analizės nurodytų pasiūly</w:t>
      </w:r>
      <w:r w:rsidRPr="000D690B">
        <w:rPr>
          <w:rFonts w:ascii="Times New Roman" w:hAnsi="Times New Roman"/>
          <w:bCs/>
        </w:rPr>
        <w:t xml:space="preserve">mų </w:t>
      </w:r>
      <w:r w:rsidR="00E868B0">
        <w:rPr>
          <w:rFonts w:ascii="Times New Roman" w:hAnsi="Times New Roman"/>
          <w:bCs/>
        </w:rPr>
        <w:t>įgyvendinimą</w:t>
      </w:r>
      <w:r w:rsidRPr="000D690B">
        <w:rPr>
          <w:rFonts w:ascii="Times New Roman" w:hAnsi="Times New Roman"/>
          <w:bCs/>
        </w:rPr>
        <w:t xml:space="preserve"> ar numatomą įgyvendinimą prašome pateikti STT ne vėliau kaip per 3 mėnesius nuo išvados dėl korupcijos rizikos analizės gavimo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4565"/>
    <w:multiLevelType w:val="multilevel"/>
    <w:tmpl w:val="44586F3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hAnsi="Times New Roman" w:cs="Times New Roman" w:hint="default"/>
      </w:rPr>
    </w:lvl>
    <w:lvl w:ilvl="2">
      <w:start w:val="1"/>
      <w:numFmt w:val="decimal"/>
      <w:isLgl/>
      <w:lvlText w:val="%1.%2.%3"/>
      <w:lvlJc w:val="left"/>
      <w:pPr>
        <w:ind w:left="720" w:hanging="720"/>
      </w:pPr>
      <w:rPr>
        <w:rFonts w:asciiTheme="minorHAnsi" w:hAnsiTheme="minorHAnsi" w:cstheme="minorBidi" w:hint="default"/>
      </w:rPr>
    </w:lvl>
    <w:lvl w:ilvl="3">
      <w:start w:val="1"/>
      <w:numFmt w:val="decimal"/>
      <w:isLgl/>
      <w:lvlText w:val="%1.%2.%3.%4"/>
      <w:lvlJc w:val="left"/>
      <w:pPr>
        <w:ind w:left="720" w:hanging="720"/>
      </w:pPr>
      <w:rPr>
        <w:rFonts w:asciiTheme="minorHAnsi" w:hAnsiTheme="minorHAnsi" w:cstheme="minorBidi" w:hint="default"/>
      </w:rPr>
    </w:lvl>
    <w:lvl w:ilvl="4">
      <w:start w:val="1"/>
      <w:numFmt w:val="decimal"/>
      <w:isLgl/>
      <w:lvlText w:val="%1.%2.%3.%4.%5"/>
      <w:lvlJc w:val="left"/>
      <w:pPr>
        <w:ind w:left="1080" w:hanging="1080"/>
      </w:pPr>
      <w:rPr>
        <w:rFonts w:asciiTheme="minorHAnsi" w:hAnsiTheme="minorHAnsi" w:cstheme="minorBidi" w:hint="default"/>
      </w:rPr>
    </w:lvl>
    <w:lvl w:ilvl="5">
      <w:start w:val="1"/>
      <w:numFmt w:val="decimal"/>
      <w:isLgl/>
      <w:lvlText w:val="%1.%2.%3.%4.%5.%6"/>
      <w:lvlJc w:val="left"/>
      <w:pPr>
        <w:ind w:left="1080" w:hanging="1080"/>
      </w:pPr>
      <w:rPr>
        <w:rFonts w:asciiTheme="minorHAnsi" w:hAnsiTheme="minorHAnsi" w:cstheme="minorBidi" w:hint="default"/>
      </w:rPr>
    </w:lvl>
    <w:lvl w:ilvl="6">
      <w:start w:val="1"/>
      <w:numFmt w:val="decimal"/>
      <w:isLgl/>
      <w:lvlText w:val="%1.%2.%3.%4.%5.%6.%7"/>
      <w:lvlJc w:val="left"/>
      <w:pPr>
        <w:ind w:left="1440" w:hanging="1440"/>
      </w:pPr>
      <w:rPr>
        <w:rFonts w:asciiTheme="minorHAnsi" w:hAnsiTheme="minorHAnsi" w:cstheme="minorBidi" w:hint="default"/>
      </w:rPr>
    </w:lvl>
    <w:lvl w:ilvl="7">
      <w:start w:val="1"/>
      <w:numFmt w:val="decimal"/>
      <w:isLgl/>
      <w:lvlText w:val="%1.%2.%3.%4.%5.%6.%7.%8"/>
      <w:lvlJc w:val="left"/>
      <w:pPr>
        <w:ind w:left="1440" w:hanging="1440"/>
      </w:pPr>
      <w:rPr>
        <w:rFonts w:asciiTheme="minorHAnsi" w:hAnsiTheme="minorHAnsi" w:cstheme="minorBidi" w:hint="default"/>
      </w:rPr>
    </w:lvl>
    <w:lvl w:ilvl="8">
      <w:start w:val="1"/>
      <w:numFmt w:val="decimal"/>
      <w:isLgl/>
      <w:lvlText w:val="%1.%2.%3.%4.%5.%6.%7.%8.%9"/>
      <w:lvlJc w:val="left"/>
      <w:pPr>
        <w:ind w:left="1440" w:hanging="1440"/>
      </w:pPr>
      <w:rPr>
        <w:rFonts w:asciiTheme="minorHAnsi" w:hAnsiTheme="minorHAnsi" w:cstheme="minorBidi" w:hint="default"/>
      </w:rPr>
    </w:lvl>
  </w:abstractNum>
  <w:abstractNum w:abstractNumId="1" w15:restartNumberingAfterBreak="0">
    <w:nsid w:val="68B407B2"/>
    <w:multiLevelType w:val="multilevel"/>
    <w:tmpl w:val="DC5AEF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2F15AC1"/>
    <w:multiLevelType w:val="hybridMultilevel"/>
    <w:tmpl w:val="2280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4803460">
    <w:abstractNumId w:val="2"/>
  </w:num>
  <w:num w:numId="2" w16cid:durableId="114298692">
    <w:abstractNumId w:val="0"/>
  </w:num>
  <w:num w:numId="3" w16cid:durableId="63840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944"/>
    <w:rsid w:val="00014C02"/>
    <w:rsid w:val="00040139"/>
    <w:rsid w:val="000601F4"/>
    <w:rsid w:val="00065287"/>
    <w:rsid w:val="000C5806"/>
    <w:rsid w:val="000D63E8"/>
    <w:rsid w:val="000F31B3"/>
    <w:rsid w:val="001820B6"/>
    <w:rsid w:val="00205E41"/>
    <w:rsid w:val="00226298"/>
    <w:rsid w:val="002479E4"/>
    <w:rsid w:val="00270C62"/>
    <w:rsid w:val="002A1711"/>
    <w:rsid w:val="002E6C6C"/>
    <w:rsid w:val="0034418E"/>
    <w:rsid w:val="0037500E"/>
    <w:rsid w:val="003826DC"/>
    <w:rsid w:val="00383F51"/>
    <w:rsid w:val="003E50E6"/>
    <w:rsid w:val="003E7DC1"/>
    <w:rsid w:val="00442AB7"/>
    <w:rsid w:val="004818D2"/>
    <w:rsid w:val="005548F1"/>
    <w:rsid w:val="005D4659"/>
    <w:rsid w:val="005E1894"/>
    <w:rsid w:val="00625300"/>
    <w:rsid w:val="006700B4"/>
    <w:rsid w:val="00694944"/>
    <w:rsid w:val="006D4325"/>
    <w:rsid w:val="00710319"/>
    <w:rsid w:val="00832880"/>
    <w:rsid w:val="008F6DF3"/>
    <w:rsid w:val="009374B9"/>
    <w:rsid w:val="00A1526A"/>
    <w:rsid w:val="00A72329"/>
    <w:rsid w:val="00AF0532"/>
    <w:rsid w:val="00AF20C3"/>
    <w:rsid w:val="00B2318E"/>
    <w:rsid w:val="00B85DA1"/>
    <w:rsid w:val="00BA168A"/>
    <w:rsid w:val="00BB32CD"/>
    <w:rsid w:val="00C50888"/>
    <w:rsid w:val="00C53629"/>
    <w:rsid w:val="00C602B0"/>
    <w:rsid w:val="00D07F3C"/>
    <w:rsid w:val="00DD0CF2"/>
    <w:rsid w:val="00E20495"/>
    <w:rsid w:val="00E868B0"/>
    <w:rsid w:val="00ED0942"/>
    <w:rsid w:val="00EE783A"/>
    <w:rsid w:val="00EF068B"/>
    <w:rsid w:val="00EF7971"/>
    <w:rsid w:val="00F35E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D6A9"/>
  <w15:chartTrackingRefBased/>
  <w15:docId w15:val="{BBB106CC-3A3C-4D34-8538-5371883D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944"/>
    <w:pPr>
      <w:spacing w:line="240" w:lineRule="auto"/>
      <w:ind w:firstLine="0"/>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694944"/>
    <w:rPr>
      <w:rFonts w:ascii="Arial" w:eastAsia="Calibri" w:hAnsi="Arial"/>
      <w:sz w:val="20"/>
      <w:szCs w:val="20"/>
    </w:rPr>
  </w:style>
  <w:style w:type="character" w:customStyle="1" w:styleId="FootnoteTextChar">
    <w:name w:val="Footnote Text Char"/>
    <w:basedOn w:val="DefaultParagraphFont"/>
    <w:link w:val="FootnoteText"/>
    <w:uiPriority w:val="99"/>
    <w:rsid w:val="00694944"/>
    <w:rPr>
      <w:rFonts w:ascii="Arial" w:eastAsia="Calibri" w:hAnsi="Arial" w:cs="Times New Roman"/>
      <w:sz w:val="20"/>
      <w:szCs w:val="20"/>
      <w:lang w:eastAsia="lt-LT"/>
    </w:rPr>
  </w:style>
  <w:style w:type="character" w:styleId="FootnoteReference">
    <w:name w:val="footnote reference"/>
    <w:uiPriority w:val="99"/>
    <w:rsid w:val="00694944"/>
    <w:rPr>
      <w:rFonts w:cs="Times New Roman"/>
      <w:vertAlign w:val="superscript"/>
    </w:rPr>
  </w:style>
  <w:style w:type="table" w:styleId="TableGrid">
    <w:name w:val="Table Grid"/>
    <w:basedOn w:val="TableNormal"/>
    <w:rsid w:val="0037500E"/>
    <w:pPr>
      <w:spacing w:line="240" w:lineRule="auto"/>
      <w:ind w:firstLine="0"/>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500E"/>
    <w:pPr>
      <w:ind w:left="720"/>
      <w:contextualSpacing/>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74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1693</Words>
  <Characters>966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Poškuvienė</dc:creator>
  <cp:keywords/>
  <dc:description/>
  <cp:lastModifiedBy>Romualdas Čepaitis</cp:lastModifiedBy>
  <cp:revision>11</cp:revision>
  <dcterms:created xsi:type="dcterms:W3CDTF">2026-06-19T07:13:00Z</dcterms:created>
  <dcterms:modified xsi:type="dcterms:W3CDTF">2026-06-19T07:32:00Z</dcterms:modified>
</cp:coreProperties>
</file>