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CB2" w14:textId="77777777" w:rsidR="0036662A" w:rsidRPr="00017566" w:rsidRDefault="0036662A" w:rsidP="0036662A">
      <w:pPr>
        <w:jc w:val="center"/>
        <w:rPr>
          <w:b/>
          <w:bCs/>
        </w:rPr>
      </w:pPr>
      <w:r w:rsidRPr="00017566">
        <w:rPr>
          <w:b/>
          <w:bCs/>
        </w:rPr>
        <w:t xml:space="preserve">LIETUVOS RESPUBLIKOS </w:t>
      </w:r>
      <w:r w:rsidR="00AA30C9" w:rsidRPr="00017566">
        <w:rPr>
          <w:b/>
          <w:bCs/>
        </w:rPr>
        <w:t>EKONOMIKOS IR INOVACIJŲ</w:t>
      </w:r>
      <w:r w:rsidRPr="00017566">
        <w:rPr>
          <w:b/>
          <w:bCs/>
        </w:rPr>
        <w:t xml:space="preserve"> MINISTERIJA</w:t>
      </w:r>
    </w:p>
    <w:p w14:paraId="4BE9C383" w14:textId="77777777" w:rsidR="0036662A" w:rsidRPr="00017566" w:rsidRDefault="0036662A" w:rsidP="0036662A">
      <w:pPr>
        <w:jc w:val="center"/>
        <w:rPr>
          <w:b/>
          <w:bCs/>
        </w:rPr>
      </w:pPr>
    </w:p>
    <w:p w14:paraId="61FE5354" w14:textId="30578F93" w:rsidR="0036662A" w:rsidRDefault="0036662A" w:rsidP="00DD3616">
      <w:pPr>
        <w:jc w:val="center"/>
        <w:rPr>
          <w:b/>
          <w:bCs/>
          <w:caps/>
        </w:rPr>
      </w:pPr>
      <w:r w:rsidRPr="00017566">
        <w:rPr>
          <w:b/>
          <w:bCs/>
        </w:rPr>
        <w:t xml:space="preserve">SOCIALINIŲ IR EKONOMINIŲ PARTNERIŲ </w:t>
      </w:r>
      <w:r w:rsidRPr="00E8185E">
        <w:rPr>
          <w:rFonts w:ascii="Times New Roman Bold" w:hAnsi="Times New Roman Bold"/>
          <w:b/>
          <w:bCs/>
          <w:caps/>
        </w:rPr>
        <w:t xml:space="preserve">PATEIKTŲ PASTABŲ IR PASIŪLYMŲ DĖL </w:t>
      </w:r>
      <w:r w:rsidR="00A323E0" w:rsidRPr="00E8185E">
        <w:rPr>
          <w:rFonts w:ascii="Times New Roman Bold" w:hAnsi="Times New Roman Bold"/>
          <w:b/>
          <w:bCs/>
          <w:caps/>
        </w:rPr>
        <w:t xml:space="preserve">2022–2030 METŲ EKONOMIKOS TRANSFORMACIJOS IR KONKURENCINGUMO PLĖTROS PROGRAMOS </w:t>
      </w:r>
      <w:r w:rsidR="00E8185E">
        <w:rPr>
          <w:rFonts w:ascii="Times New Roman Bold" w:hAnsi="Times New Roman Bold"/>
          <w:b/>
          <w:bCs/>
          <w:caps/>
        </w:rPr>
        <w:t xml:space="preserve">PAŽANGOS PRIEMONĖS </w:t>
      </w:r>
      <w:r w:rsidR="00E8185E" w:rsidRPr="00E8185E">
        <w:rPr>
          <w:rFonts w:ascii="Times New Roman Bold" w:hAnsi="Times New Roman Bold"/>
          <w:b/>
          <w:bCs/>
          <w:caps/>
        </w:rPr>
        <w:t xml:space="preserve">Nr. </w:t>
      </w:r>
      <w:r w:rsidR="00F218A9" w:rsidRPr="006A24D6">
        <w:rPr>
          <w:b/>
          <w:caps/>
          <w:szCs w:val="24"/>
        </w:rPr>
        <w:t>05-001-01-05-05 „SKATINTI ĮMONES SKAITMENIZUOTIS“</w:t>
      </w:r>
      <w:r w:rsidR="00F218A9">
        <w:rPr>
          <w:b/>
          <w:caps/>
          <w:szCs w:val="24"/>
        </w:rPr>
        <w:t xml:space="preserve"> </w:t>
      </w:r>
      <w:r w:rsidR="00E8185E" w:rsidRPr="00E8185E">
        <w:rPr>
          <w:rFonts w:ascii="Times New Roman Bold" w:hAnsi="Times New Roman Bold"/>
          <w:b/>
          <w:bCs/>
          <w:caps/>
        </w:rPr>
        <w:t>veikl</w:t>
      </w:r>
      <w:r w:rsidR="00F218A9">
        <w:rPr>
          <w:rFonts w:ascii="Times New Roman Bold" w:hAnsi="Times New Roman Bold"/>
          <w:b/>
          <w:bCs/>
          <w:caps/>
        </w:rPr>
        <w:t>OS</w:t>
      </w:r>
      <w:r w:rsidR="00E8185E" w:rsidRPr="00E8185E">
        <w:rPr>
          <w:rFonts w:ascii="Times New Roman Bold" w:hAnsi="Times New Roman Bold"/>
          <w:b/>
          <w:bCs/>
          <w:caps/>
        </w:rPr>
        <w:t xml:space="preserve"> </w:t>
      </w:r>
      <w:r w:rsidR="00F218A9">
        <w:rPr>
          <w:rFonts w:ascii="Times New Roman Bold" w:hAnsi="Times New Roman Bold"/>
          <w:b/>
          <w:bCs/>
          <w:caps/>
        </w:rPr>
        <w:t>„</w:t>
      </w:r>
      <w:r w:rsidR="00F218A9" w:rsidRPr="00F218A9">
        <w:rPr>
          <w:rFonts w:ascii="Times New Roman Bold" w:hAnsi="Times New Roman Bold"/>
          <w:b/>
          <w:bCs/>
          <w:caps/>
        </w:rPr>
        <w:t>Skatinti labai mažas, mažas ir vidutines įmones (toliau – MVĮ) vystyti dirbtinio intelekto (toliau – DI) sprendimus (Vidurio ir vakarų Lietuvos regionas)“</w:t>
      </w:r>
      <w:r w:rsidR="00F218A9">
        <w:rPr>
          <w:i/>
          <w:iCs/>
          <w:szCs w:val="24"/>
        </w:rPr>
        <w:t xml:space="preserve"> </w:t>
      </w:r>
      <w:r w:rsidR="00A323E0" w:rsidRPr="00E8185E">
        <w:rPr>
          <w:rFonts w:ascii="Times New Roman Bold" w:hAnsi="Times New Roman Bold"/>
          <w:b/>
          <w:bCs/>
          <w:caps/>
        </w:rPr>
        <w:t>PROJEKTŲ ATRANKOS</w:t>
      </w:r>
      <w:r w:rsidR="00A323E0" w:rsidRPr="00FA1A39">
        <w:rPr>
          <w:b/>
          <w:bCs/>
          <w:caps/>
        </w:rPr>
        <w:t xml:space="preserve"> KRITERIJŲ </w:t>
      </w:r>
      <w:r w:rsidR="002B6CF8">
        <w:rPr>
          <w:b/>
          <w:bCs/>
          <w:caps/>
        </w:rPr>
        <w:t xml:space="preserve">pakeitimo </w:t>
      </w:r>
      <w:r w:rsidR="00A323E0" w:rsidRPr="00FA1A39">
        <w:rPr>
          <w:b/>
          <w:bCs/>
          <w:caps/>
        </w:rPr>
        <w:t>DERINIMAS</w:t>
      </w:r>
    </w:p>
    <w:p w14:paraId="15324480" w14:textId="447A9587" w:rsidR="005A640D" w:rsidRDefault="005A640D" w:rsidP="00DD3616">
      <w:pPr>
        <w:jc w:val="center"/>
        <w:rPr>
          <w:b/>
          <w:bCs/>
          <w:caps/>
        </w:rPr>
      </w:pPr>
    </w:p>
    <w:p w14:paraId="33019844" w14:textId="77777777" w:rsidR="005A640D" w:rsidRPr="00B1094E" w:rsidRDefault="005A640D" w:rsidP="005A640D">
      <w:pPr>
        <w:jc w:val="both"/>
        <w:rPr>
          <w:b/>
          <w:i/>
          <w:iCs/>
          <w:szCs w:val="24"/>
        </w:rPr>
      </w:pPr>
      <w:r w:rsidRPr="00B1094E">
        <w:rPr>
          <w:b/>
          <w:i/>
          <w:iCs/>
          <w:szCs w:val="24"/>
        </w:rPr>
        <w:t>Viešųjų interesų viršenybei užtikrinti pastabas ir pasiūlymus teikiantys asmenys privalo teisės aktų nustatyta tvarka ir priemonėmis vengti interesų konflikto ir elgtis taip, kad nekiltų abejonių, kad toks konfliktas yra.</w:t>
      </w:r>
    </w:p>
    <w:p w14:paraId="74CF9614" w14:textId="77777777" w:rsidR="0036662A" w:rsidRPr="00017566" w:rsidRDefault="0036662A" w:rsidP="0036662A">
      <w:pPr>
        <w:rPr>
          <w:b/>
          <w:bCs/>
        </w:rPr>
      </w:pPr>
    </w:p>
    <w:tbl>
      <w:tblPr>
        <w:tblStyle w:val="TableGrid"/>
        <w:tblW w:w="14742" w:type="dxa"/>
        <w:tblInd w:w="108" w:type="dxa"/>
        <w:tblLook w:val="04A0" w:firstRow="1" w:lastRow="0" w:firstColumn="1" w:lastColumn="0" w:noHBand="0" w:noVBand="1"/>
      </w:tblPr>
      <w:tblGrid>
        <w:gridCol w:w="6804"/>
        <w:gridCol w:w="7938"/>
      </w:tblGrid>
      <w:tr w:rsidR="0036662A" w:rsidRPr="00017566" w14:paraId="186CD4CE" w14:textId="77777777" w:rsidTr="00335D39">
        <w:tc>
          <w:tcPr>
            <w:tcW w:w="6804" w:type="dxa"/>
          </w:tcPr>
          <w:p w14:paraId="5ABD71ED" w14:textId="53972006" w:rsidR="0036662A" w:rsidRPr="00017566" w:rsidRDefault="0036662A" w:rsidP="00335D39">
            <w:pPr>
              <w:rPr>
                <w:b/>
                <w:szCs w:val="24"/>
              </w:rPr>
            </w:pPr>
            <w:r w:rsidRPr="00017566">
              <w:rPr>
                <w:b/>
                <w:szCs w:val="24"/>
              </w:rPr>
              <w:t xml:space="preserve">Paskelbimo </w:t>
            </w:r>
            <w:r w:rsidRPr="00017566">
              <w:t>www.</w:t>
            </w:r>
            <w:r w:rsidR="005B09A6">
              <w:t xml:space="preserve"> </w:t>
            </w:r>
            <w:r w:rsidR="005B09A6" w:rsidRPr="005B09A6">
              <w:t>2021.esinvesticijos.lt</w:t>
            </w:r>
            <w:r w:rsidR="005B09A6">
              <w:t xml:space="preserve"> </w:t>
            </w:r>
            <w:r w:rsidRPr="00017566">
              <w:rPr>
                <w:b/>
                <w:szCs w:val="24"/>
              </w:rPr>
              <w:t>data</w:t>
            </w:r>
          </w:p>
        </w:tc>
        <w:tc>
          <w:tcPr>
            <w:tcW w:w="7938" w:type="dxa"/>
          </w:tcPr>
          <w:p w14:paraId="30C88A42" w14:textId="3BDEE1B0" w:rsidR="0036662A" w:rsidRPr="00E8185E" w:rsidRDefault="00F65129" w:rsidP="00335D39">
            <w:pPr>
              <w:rPr>
                <w:szCs w:val="24"/>
                <w:lang w:val="en-US"/>
              </w:rPr>
            </w:pPr>
            <w:r w:rsidRPr="00017566">
              <w:rPr>
                <w:szCs w:val="24"/>
              </w:rPr>
              <w:t>202</w:t>
            </w:r>
            <w:r w:rsidR="002B6CF8">
              <w:rPr>
                <w:szCs w:val="24"/>
                <w:lang w:val="en-US"/>
              </w:rPr>
              <w:t>6</w:t>
            </w:r>
            <w:r w:rsidR="00E8185E">
              <w:rPr>
                <w:szCs w:val="24"/>
                <w:lang w:val="en-US"/>
              </w:rPr>
              <w:t>-0</w:t>
            </w:r>
            <w:r w:rsidR="002B6CF8">
              <w:rPr>
                <w:szCs w:val="24"/>
                <w:lang w:val="en-US"/>
              </w:rPr>
              <w:t>9</w:t>
            </w:r>
            <w:r w:rsidR="00E8185E">
              <w:rPr>
                <w:szCs w:val="24"/>
                <w:lang w:val="en-US"/>
              </w:rPr>
              <w:t>-</w:t>
            </w:r>
            <w:r w:rsidR="002B6CF8">
              <w:rPr>
                <w:szCs w:val="24"/>
                <w:lang w:val="en-US"/>
              </w:rPr>
              <w:t>02</w:t>
            </w:r>
          </w:p>
        </w:tc>
      </w:tr>
      <w:tr w:rsidR="0036662A" w:rsidRPr="00017566" w14:paraId="0B887416" w14:textId="77777777" w:rsidTr="00335D39">
        <w:tc>
          <w:tcPr>
            <w:tcW w:w="6804" w:type="dxa"/>
          </w:tcPr>
          <w:p w14:paraId="222C999C" w14:textId="77777777" w:rsidR="0036662A" w:rsidRPr="00017566" w:rsidRDefault="0036662A" w:rsidP="00335D39">
            <w:pPr>
              <w:rPr>
                <w:b/>
                <w:szCs w:val="24"/>
              </w:rPr>
            </w:pPr>
            <w:r w:rsidRPr="00017566">
              <w:rPr>
                <w:b/>
                <w:szCs w:val="24"/>
              </w:rPr>
              <w:t>Ar gauta pastabų ir (ar) pasiūlymų?</w:t>
            </w:r>
          </w:p>
          <w:p w14:paraId="240DC70C" w14:textId="77777777" w:rsidR="0036662A" w:rsidRPr="00017566" w:rsidRDefault="0036662A" w:rsidP="0036662A">
            <w:pPr>
              <w:rPr>
                <w:i/>
                <w:sz w:val="20"/>
              </w:rPr>
            </w:pPr>
            <w:r w:rsidRPr="00017566">
              <w:rPr>
                <w:i/>
                <w:sz w:val="20"/>
              </w:rPr>
              <w:t>Jei pastabų ir pasiūlymų nebuvo gauta, į kitą klausimą neatsakoma ir žemiau esanti lentelė nepildoma</w:t>
            </w:r>
          </w:p>
        </w:tc>
        <w:tc>
          <w:tcPr>
            <w:tcW w:w="7938" w:type="dxa"/>
          </w:tcPr>
          <w:p w14:paraId="3F99D4E0" w14:textId="289C4488" w:rsidR="0036662A" w:rsidRPr="00017566" w:rsidRDefault="005B09A6" w:rsidP="0070221E">
            <w:r>
              <w:fldChar w:fldCharType="begin">
                <w:ffData>
                  <w:name w:val="Check1"/>
                  <w:enabled/>
                  <w:calcOnExit w:val="0"/>
                  <w:checkBox>
                    <w:sizeAuto/>
                    <w:default w:val="1"/>
                  </w:checkBox>
                </w:ffData>
              </w:fldChar>
            </w:r>
            <w:bookmarkStart w:id="0" w:name="Check1"/>
            <w:r>
              <w:instrText xml:space="preserve"> FORMCHECKBOX </w:instrText>
            </w:r>
            <w:r>
              <w:fldChar w:fldCharType="separate"/>
            </w:r>
            <w:r>
              <w:fldChar w:fldCharType="end"/>
            </w:r>
            <w:bookmarkEnd w:id="0"/>
            <w:r w:rsidR="0036662A" w:rsidRPr="00017566">
              <w:t xml:space="preserve"> </w:t>
            </w:r>
            <w:r w:rsidR="0036662A" w:rsidRPr="00017566">
              <w:rPr>
                <w:szCs w:val="24"/>
              </w:rPr>
              <w:t xml:space="preserve">Taip </w:t>
            </w:r>
            <w:sdt>
              <w:sdtPr>
                <w:rPr>
                  <w:szCs w:val="24"/>
                </w:rPr>
                <w:id w:val="164368749"/>
              </w:sdtPr>
              <w:sdtEndPr/>
              <w:sdtContent>
                <w:r>
                  <w:rPr>
                    <w:b/>
                    <w:szCs w:val="24"/>
                  </w:rPr>
                  <w:fldChar w:fldCharType="begin">
                    <w:ffData>
                      <w:name w:val=""/>
                      <w:enabled/>
                      <w:calcOnExit w:val="0"/>
                      <w:checkBox>
                        <w:sizeAuto/>
                        <w:default w:val="0"/>
                      </w:checkBox>
                    </w:ffData>
                  </w:fldChar>
                </w:r>
                <w:r>
                  <w:rPr>
                    <w:b/>
                    <w:szCs w:val="24"/>
                  </w:rPr>
                  <w:instrText xml:space="preserve"> FORMCHECKBOX </w:instrText>
                </w:r>
                <w:r>
                  <w:rPr>
                    <w:b/>
                    <w:szCs w:val="24"/>
                  </w:rPr>
                </w:r>
                <w:r>
                  <w:rPr>
                    <w:b/>
                    <w:szCs w:val="24"/>
                  </w:rPr>
                  <w:fldChar w:fldCharType="separate"/>
                </w:r>
                <w:r>
                  <w:rPr>
                    <w:b/>
                    <w:szCs w:val="24"/>
                  </w:rPr>
                  <w:fldChar w:fldCharType="end"/>
                </w:r>
                <w:r w:rsidR="0036662A" w:rsidRPr="00017566">
                  <w:rPr>
                    <w:szCs w:val="24"/>
                  </w:rPr>
                  <w:t xml:space="preserve"> </w:t>
                </w:r>
              </w:sdtContent>
            </w:sdt>
            <w:r w:rsidR="0036662A" w:rsidRPr="00017566">
              <w:rPr>
                <w:szCs w:val="24"/>
              </w:rPr>
              <w:t xml:space="preserve"> Ne</w:t>
            </w:r>
            <w:r w:rsidR="0036662A" w:rsidRPr="00017566">
              <w:rPr>
                <w:szCs w:val="24"/>
              </w:rPr>
              <w:fldChar w:fldCharType="begin"/>
            </w:r>
            <w:r w:rsidR="0036662A" w:rsidRPr="00017566">
              <w:rPr>
                <w:szCs w:val="24"/>
              </w:rPr>
              <w:instrText xml:space="preserve"> FILLIN   \* MERGEFORMAT </w:instrText>
            </w:r>
            <w:r w:rsidR="0036662A" w:rsidRPr="00017566">
              <w:rPr>
                <w:szCs w:val="24"/>
              </w:rPr>
              <w:fldChar w:fldCharType="end"/>
            </w:r>
          </w:p>
        </w:tc>
      </w:tr>
      <w:tr w:rsidR="0036662A" w:rsidRPr="00017566" w14:paraId="48ACEA96" w14:textId="77777777" w:rsidTr="00335D39">
        <w:tc>
          <w:tcPr>
            <w:tcW w:w="6804" w:type="dxa"/>
          </w:tcPr>
          <w:p w14:paraId="0CDA3A40" w14:textId="77777777" w:rsidR="0036662A" w:rsidRPr="00017566" w:rsidRDefault="0036662A" w:rsidP="00335D39">
            <w:pPr>
              <w:rPr>
                <w:b/>
                <w:szCs w:val="24"/>
              </w:rPr>
            </w:pPr>
            <w:r w:rsidRPr="00017566">
              <w:rPr>
                <w:b/>
                <w:szCs w:val="24"/>
              </w:rPr>
              <w:t>Ar į visas pastabas ir (ar) pasiūlymus atsižvelgta?</w:t>
            </w:r>
          </w:p>
          <w:p w14:paraId="2AF95CF4" w14:textId="77777777" w:rsidR="0036662A" w:rsidRPr="00017566" w:rsidRDefault="0036662A" w:rsidP="00335D39">
            <w:pPr>
              <w:rPr>
                <w:i/>
                <w:sz w:val="20"/>
              </w:rPr>
            </w:pPr>
            <w:r w:rsidRPr="00017566">
              <w:rPr>
                <w:i/>
                <w:sz w:val="20"/>
              </w:rPr>
              <w:t>Jei atsižvelgta į visas pastabas ir (ar) pasiūlymus, žemiau esanti lentelė nepildoma</w:t>
            </w:r>
          </w:p>
        </w:tc>
        <w:tc>
          <w:tcPr>
            <w:tcW w:w="7938" w:type="dxa"/>
          </w:tcPr>
          <w:p w14:paraId="3B6FBCDB" w14:textId="6F756260" w:rsidR="0036662A" w:rsidRPr="00017566" w:rsidRDefault="005B065C" w:rsidP="0070221E">
            <w:pPr>
              <w:rPr>
                <w:szCs w:val="24"/>
              </w:rPr>
            </w:pPr>
            <w:sdt>
              <w:sdtPr>
                <w:id w:val="-338542889"/>
              </w:sdtPr>
              <w:sdtEndPr/>
              <w:sdtContent>
                <w:r w:rsidR="00EF52E1">
                  <w:fldChar w:fldCharType="begin">
                    <w:ffData>
                      <w:name w:val=""/>
                      <w:enabled/>
                      <w:calcOnExit w:val="0"/>
                      <w:checkBox>
                        <w:sizeAuto/>
                        <w:default w:val="0"/>
                      </w:checkBox>
                    </w:ffData>
                  </w:fldChar>
                </w:r>
                <w:r w:rsidR="00EF52E1">
                  <w:instrText xml:space="preserve"> FORMCHECKBOX </w:instrText>
                </w:r>
                <w:r w:rsidR="00EF52E1">
                  <w:fldChar w:fldCharType="separate"/>
                </w:r>
                <w:r w:rsidR="00EF52E1">
                  <w:fldChar w:fldCharType="end"/>
                </w:r>
              </w:sdtContent>
            </w:sdt>
            <w:r w:rsidR="00015942" w:rsidRPr="00017566">
              <w:rPr>
                <w:szCs w:val="24"/>
              </w:rPr>
              <w:t xml:space="preserve"> </w:t>
            </w:r>
            <w:r w:rsidR="0036662A" w:rsidRPr="00017566">
              <w:rPr>
                <w:szCs w:val="24"/>
              </w:rPr>
              <w:t xml:space="preserve">Taip </w:t>
            </w:r>
            <w:sdt>
              <w:sdtPr>
                <w:id w:val="-1548671976"/>
              </w:sdtPr>
              <w:sdtEndPr/>
              <w:sdtContent>
                <w:sdt>
                  <w:sdtPr>
                    <w:id w:val="-1485691649"/>
                  </w:sdtPr>
                  <w:sdtEndPr/>
                  <w:sdtContent>
                    <w:r w:rsidR="00EF52E1">
                      <w:fldChar w:fldCharType="begin">
                        <w:ffData>
                          <w:name w:val=""/>
                          <w:enabled/>
                          <w:calcOnExit w:val="0"/>
                          <w:checkBox>
                            <w:sizeAuto/>
                            <w:default w:val="1"/>
                          </w:checkBox>
                        </w:ffData>
                      </w:fldChar>
                    </w:r>
                    <w:r w:rsidR="00EF52E1">
                      <w:instrText xml:space="preserve"> FORMCHECKBOX </w:instrText>
                    </w:r>
                    <w:r w:rsidR="00EF52E1">
                      <w:fldChar w:fldCharType="separate"/>
                    </w:r>
                    <w:r w:rsidR="00EF52E1">
                      <w:fldChar w:fldCharType="end"/>
                    </w:r>
                  </w:sdtContent>
                </w:sdt>
                <w:r w:rsidR="00EF52E1">
                  <w:t xml:space="preserve"> </w:t>
                </w:r>
              </w:sdtContent>
            </w:sdt>
            <w:r w:rsidR="0036662A" w:rsidRPr="00017566">
              <w:rPr>
                <w:szCs w:val="24"/>
              </w:rPr>
              <w:t xml:space="preserve"> Ne </w:t>
            </w:r>
          </w:p>
        </w:tc>
      </w:tr>
    </w:tbl>
    <w:p w14:paraId="2CB04BD8" w14:textId="77777777" w:rsidR="0036662A" w:rsidRPr="00017566" w:rsidRDefault="0036662A" w:rsidP="0036662A">
      <w:pPr>
        <w:rPr>
          <w:szCs w:val="24"/>
        </w:rPr>
      </w:pPr>
    </w:p>
    <w:tbl>
      <w:tblPr>
        <w:tblStyle w:val="TableGrid"/>
        <w:tblW w:w="14771" w:type="dxa"/>
        <w:tblInd w:w="108" w:type="dxa"/>
        <w:tblLayout w:type="fixed"/>
        <w:tblLook w:val="04A0" w:firstRow="1" w:lastRow="0" w:firstColumn="1" w:lastColumn="0" w:noHBand="0" w:noVBand="1"/>
      </w:tblPr>
      <w:tblGrid>
        <w:gridCol w:w="567"/>
        <w:gridCol w:w="1560"/>
        <w:gridCol w:w="5698"/>
        <w:gridCol w:w="6946"/>
      </w:tblGrid>
      <w:tr w:rsidR="0036662A" w:rsidRPr="00715BFD" w14:paraId="6A4E2F17" w14:textId="77777777" w:rsidTr="00F218A9">
        <w:tc>
          <w:tcPr>
            <w:tcW w:w="567" w:type="dxa"/>
          </w:tcPr>
          <w:p w14:paraId="025A5EA9" w14:textId="77777777" w:rsidR="0036662A" w:rsidRPr="00715BFD" w:rsidRDefault="0036662A" w:rsidP="00335D39">
            <w:pPr>
              <w:jc w:val="center"/>
              <w:rPr>
                <w:b/>
                <w:szCs w:val="24"/>
              </w:rPr>
            </w:pPr>
            <w:r w:rsidRPr="00715BFD">
              <w:rPr>
                <w:b/>
                <w:szCs w:val="24"/>
              </w:rPr>
              <w:t>Nr.</w:t>
            </w:r>
          </w:p>
        </w:tc>
        <w:tc>
          <w:tcPr>
            <w:tcW w:w="1560" w:type="dxa"/>
          </w:tcPr>
          <w:p w14:paraId="5FEE2DEB" w14:textId="77777777" w:rsidR="0036662A" w:rsidRPr="00715BFD" w:rsidRDefault="0036662A" w:rsidP="00335D39">
            <w:pPr>
              <w:jc w:val="center"/>
              <w:rPr>
                <w:b/>
                <w:szCs w:val="24"/>
              </w:rPr>
            </w:pPr>
            <w:r w:rsidRPr="00715BFD">
              <w:rPr>
                <w:b/>
                <w:szCs w:val="24"/>
              </w:rPr>
              <w:t>Institucija</w:t>
            </w:r>
          </w:p>
        </w:tc>
        <w:tc>
          <w:tcPr>
            <w:tcW w:w="5698" w:type="dxa"/>
          </w:tcPr>
          <w:p w14:paraId="477A3F41" w14:textId="77777777" w:rsidR="0036662A" w:rsidRPr="00715BFD" w:rsidRDefault="0036662A" w:rsidP="00335D39">
            <w:pPr>
              <w:jc w:val="center"/>
              <w:rPr>
                <w:b/>
                <w:bCs/>
                <w:szCs w:val="24"/>
              </w:rPr>
            </w:pPr>
            <w:r w:rsidRPr="00715BFD">
              <w:rPr>
                <w:b/>
                <w:bCs/>
                <w:szCs w:val="24"/>
              </w:rPr>
              <w:t>Pastabos ir pasiūlymai</w:t>
            </w:r>
          </w:p>
          <w:p w14:paraId="4F6476E0" w14:textId="68FA3BF8" w:rsidR="002B6CF8" w:rsidRPr="00715BFD" w:rsidRDefault="002B6CF8" w:rsidP="00335D39">
            <w:pPr>
              <w:jc w:val="center"/>
              <w:rPr>
                <w:szCs w:val="24"/>
              </w:rPr>
            </w:pPr>
            <w:r w:rsidRPr="00715BFD">
              <w:rPr>
                <w:szCs w:val="24"/>
              </w:rPr>
              <w:t>(Pasiūlymų tekstas nėra redaguojamas ir pateikiamas toks, kokį pateikė pastabos teikėjas)</w:t>
            </w:r>
          </w:p>
        </w:tc>
        <w:tc>
          <w:tcPr>
            <w:tcW w:w="6946" w:type="dxa"/>
          </w:tcPr>
          <w:p w14:paraId="5C314C6F" w14:textId="77777777" w:rsidR="0036662A" w:rsidRPr="00715BFD" w:rsidRDefault="0036662A" w:rsidP="00335D39">
            <w:pPr>
              <w:jc w:val="center"/>
              <w:rPr>
                <w:b/>
                <w:szCs w:val="24"/>
              </w:rPr>
            </w:pPr>
            <w:r w:rsidRPr="00715BFD">
              <w:rPr>
                <w:b/>
                <w:bCs/>
                <w:szCs w:val="24"/>
              </w:rPr>
              <w:t>Pastabų ir pasiūlymų vertinimas ir (jei taikoma) argumentai, kodėl neatsižvelgta į pastabas ar pasiūlymus</w:t>
            </w:r>
          </w:p>
        </w:tc>
      </w:tr>
      <w:tr w:rsidR="00EA4131" w:rsidRPr="00715BFD" w14:paraId="0046A312" w14:textId="77777777" w:rsidTr="00F218A9">
        <w:tc>
          <w:tcPr>
            <w:tcW w:w="567" w:type="dxa"/>
          </w:tcPr>
          <w:p w14:paraId="24B98A24" w14:textId="201B5366" w:rsidR="00EA4131" w:rsidRPr="00715BFD" w:rsidRDefault="00EA4131" w:rsidP="002B6CF8">
            <w:pPr>
              <w:jc w:val="center"/>
              <w:rPr>
                <w:b/>
                <w:szCs w:val="24"/>
              </w:rPr>
            </w:pPr>
            <w:r w:rsidRPr="00715BFD">
              <w:rPr>
                <w:bCs/>
                <w:szCs w:val="24"/>
              </w:rPr>
              <w:t>1.</w:t>
            </w:r>
          </w:p>
        </w:tc>
        <w:tc>
          <w:tcPr>
            <w:tcW w:w="1560" w:type="dxa"/>
            <w:vMerge w:val="restart"/>
          </w:tcPr>
          <w:p w14:paraId="7CF54D48" w14:textId="6732283B" w:rsidR="00EA4131" w:rsidRPr="00715BFD" w:rsidRDefault="00EA4131" w:rsidP="002B6CF8">
            <w:pPr>
              <w:jc w:val="center"/>
              <w:rPr>
                <w:szCs w:val="24"/>
              </w:rPr>
            </w:pPr>
            <w:r w:rsidRPr="00715BFD">
              <w:rPr>
                <w:szCs w:val="24"/>
                <w:lang w:val="pt-BR"/>
              </w:rPr>
              <w:t>UAB “Sintesi consulting”</w:t>
            </w:r>
          </w:p>
        </w:tc>
        <w:tc>
          <w:tcPr>
            <w:tcW w:w="5698" w:type="dxa"/>
          </w:tcPr>
          <w:p w14:paraId="69A2CAED" w14:textId="1C027DC9" w:rsidR="00EA4131" w:rsidRPr="00715BFD" w:rsidRDefault="00EA4131" w:rsidP="002B6CF8">
            <w:pPr>
              <w:jc w:val="both"/>
              <w:rPr>
                <w:szCs w:val="24"/>
              </w:rPr>
            </w:pPr>
            <w:r w:rsidRPr="00715BFD">
              <w:rPr>
                <w:szCs w:val="24"/>
              </w:rPr>
              <w:t xml:space="preserve">Dėl specialiojo atrankos kriterijaus Nr. 1: Siūlome atsisakyti reikalavimo, kad ne mažesnės kaip 145 000 Eur pardavimo pajamos būtų pasiektos kiekvienais iš pastarųjų dvejų finansinių metų, ir vertinti bendras arba vidutines šio laikotarpio pajamas. Atkreipiame Jūsų dėmesį į tai, kad IT sektoriaus įmonių pajamos gali reikšmingai svyruoti dėl veiklos pobūdžio, darbų užbaigimo ir atsiskaitymo terminų pvz. projektinių darbų atveju, tam tikrais atvejais, gautinos sumos atsispindi kitame finansavimo periode, užsakovui su įmone pilnai atsiskaičius tik projekto įgyvendinimo pabaigoje. Nurodytos priežastys gali lemti tai, kad  vienais metais </w:t>
            </w:r>
            <w:r w:rsidRPr="00715BFD">
              <w:rPr>
                <w:szCs w:val="24"/>
              </w:rPr>
              <w:lastRenderedPageBreak/>
              <w:t>įmonės pajamos gali būti mažesnės, nors bendra jos finansinė padėtis ir pajėgumas įgyvendinti projektą yra pakankami. Dabartinė sąlyga apribotų galimybes dalyvauti finansiškai pajėgias įmones, kurių vieni finansiniai metai buvo mažiau sėkmingi.</w:t>
            </w:r>
          </w:p>
        </w:tc>
        <w:tc>
          <w:tcPr>
            <w:tcW w:w="6946" w:type="dxa"/>
          </w:tcPr>
          <w:p w14:paraId="520D9B2F" w14:textId="2B05E978" w:rsidR="00EA4131" w:rsidRPr="00715BFD" w:rsidRDefault="00EA4131" w:rsidP="00E420A0">
            <w:pPr>
              <w:jc w:val="both"/>
              <w:rPr>
                <w:szCs w:val="24"/>
              </w:rPr>
            </w:pPr>
            <w:r w:rsidRPr="00715BFD">
              <w:rPr>
                <w:b/>
                <w:bCs/>
                <w:szCs w:val="24"/>
              </w:rPr>
              <w:lastRenderedPageBreak/>
              <w:t>Neatsižvelgta,</w:t>
            </w:r>
            <w:r w:rsidRPr="00715BFD">
              <w:rPr>
                <w:szCs w:val="24"/>
              </w:rPr>
              <w:t xml:space="preserve"> pakeitimas atli</w:t>
            </w:r>
            <w:r w:rsidR="00AC0141" w:rsidRPr="00715BFD">
              <w:rPr>
                <w:szCs w:val="24"/>
              </w:rPr>
              <w:t>e</w:t>
            </w:r>
            <w:r w:rsidRPr="00715BFD">
              <w:rPr>
                <w:szCs w:val="24"/>
              </w:rPr>
              <w:t>k</w:t>
            </w:r>
            <w:r w:rsidR="00AC0141" w:rsidRPr="00715BFD">
              <w:rPr>
                <w:szCs w:val="24"/>
              </w:rPr>
              <w:t>am</w:t>
            </w:r>
            <w:r w:rsidRPr="00715BFD">
              <w:rPr>
                <w:szCs w:val="24"/>
              </w:rPr>
              <w:t>as tik todėl, kad pareiškėjams būtų aiškiau, kaip jau buvo ir bus ateityje vertinamos metinės pardavimo pajamos. Atkreiptinas dėmesys, kad ir pirmojo kvietimo metu buvo vertinamos metinės, t. y. kiekvienų dviejų metų pardavimo pajamos, tačiau dėl nuolat kylančių klausimų, nuspręsta dar aiškiau suformuluoti kriterijaus dėstymą.</w:t>
            </w:r>
          </w:p>
          <w:p w14:paraId="254FC509" w14:textId="571696AC" w:rsidR="00EA4131" w:rsidRPr="00715BFD" w:rsidRDefault="00EA4131" w:rsidP="00E420A0">
            <w:pPr>
              <w:jc w:val="both"/>
              <w:rPr>
                <w:szCs w:val="24"/>
              </w:rPr>
            </w:pPr>
          </w:p>
        </w:tc>
      </w:tr>
      <w:tr w:rsidR="00EA4131" w:rsidRPr="00715BFD" w14:paraId="2CFABD0F" w14:textId="77777777" w:rsidTr="00F218A9">
        <w:tc>
          <w:tcPr>
            <w:tcW w:w="567" w:type="dxa"/>
          </w:tcPr>
          <w:p w14:paraId="651329D5" w14:textId="4BA63273" w:rsidR="00EA4131" w:rsidRPr="00715BFD" w:rsidRDefault="00EA4131" w:rsidP="002B6CF8">
            <w:pPr>
              <w:jc w:val="center"/>
              <w:rPr>
                <w:bCs/>
                <w:szCs w:val="24"/>
              </w:rPr>
            </w:pPr>
            <w:r w:rsidRPr="00715BFD">
              <w:rPr>
                <w:b/>
                <w:bCs/>
                <w:szCs w:val="24"/>
                <w:lang w:val="en-US"/>
              </w:rPr>
              <w:t>2.</w:t>
            </w:r>
          </w:p>
        </w:tc>
        <w:tc>
          <w:tcPr>
            <w:tcW w:w="1560" w:type="dxa"/>
            <w:vMerge/>
          </w:tcPr>
          <w:p w14:paraId="2B38C023" w14:textId="0364C354" w:rsidR="00EA4131" w:rsidRPr="00715BFD" w:rsidRDefault="00EA4131" w:rsidP="002B6CF8">
            <w:pPr>
              <w:rPr>
                <w:b/>
                <w:bCs/>
                <w:szCs w:val="24"/>
                <w:lang w:val="en-US"/>
              </w:rPr>
            </w:pPr>
          </w:p>
        </w:tc>
        <w:tc>
          <w:tcPr>
            <w:tcW w:w="5698" w:type="dxa"/>
          </w:tcPr>
          <w:p w14:paraId="7899670C" w14:textId="77777777" w:rsidR="00EA4131" w:rsidRPr="00715BFD" w:rsidRDefault="00EA4131" w:rsidP="00E420A0">
            <w:pPr>
              <w:jc w:val="both"/>
              <w:rPr>
                <w:szCs w:val="24"/>
              </w:rPr>
            </w:pPr>
            <w:r w:rsidRPr="00715BFD">
              <w:rPr>
                <w:b/>
                <w:bCs/>
                <w:szCs w:val="24"/>
              </w:rPr>
              <w:t xml:space="preserve">Dėl specialiojo atrankos kriterijaus Nr. 2: </w:t>
            </w:r>
            <w:r w:rsidRPr="00715BFD">
              <w:rPr>
                <w:szCs w:val="24"/>
              </w:rPr>
              <w:t>siūlome neapriboti galimybių pramonės įmonėms dalyvauti šios priemonės kvietime, neišbraukiant jų iš tinkamų šio kvietimo pareiškėjų sąrašo. Siekdamos išlikti konkurencingos, pramonės įmonės taip pat turi diegti ir kurti pažangius DI sprendimus. Atkreipiame Jūsų dėmesį į tai, kad pramonės įmonės susidurią su sunkumais ieškodamos jų veiklos specifikai ir pobūdžiui tinkamų DI sprendimų, todėl kyla poreikius kurti individualius sprendimus. Jų gebėjimą įgyvendinti projektą būtų galima užtikrinti nustatant reikalavimą turėti arba projekto įgyvendinimo laikotarpiu suformuoti kompetentingą IT ir (ar) DI specialistų komandą. Taip pat siūlome sudaryti galimybę pramonės įmonėms kurti individualius, jų veiklos procesams pritaikytus DI sprendimus, nereikalaujant tokių sprendimų komercializuoti.</w:t>
            </w:r>
          </w:p>
          <w:p w14:paraId="3B2FC227" w14:textId="77777777" w:rsidR="00EA4131" w:rsidRPr="00715BFD" w:rsidRDefault="00EA4131" w:rsidP="002B6CF8">
            <w:pPr>
              <w:jc w:val="both"/>
              <w:rPr>
                <w:szCs w:val="24"/>
              </w:rPr>
            </w:pPr>
          </w:p>
        </w:tc>
        <w:tc>
          <w:tcPr>
            <w:tcW w:w="6946" w:type="dxa"/>
          </w:tcPr>
          <w:p w14:paraId="323817ED" w14:textId="09F7A839" w:rsidR="00EA4131" w:rsidRPr="00F8231B" w:rsidRDefault="00EA4131" w:rsidP="002B6CF8">
            <w:pPr>
              <w:pStyle w:val="NoSpacing"/>
              <w:tabs>
                <w:tab w:val="left" w:pos="552"/>
              </w:tabs>
              <w:jc w:val="both"/>
              <w:rPr>
                <w:rFonts w:ascii="Times New Roman" w:hAnsi="Times New Roman"/>
                <w:b/>
                <w:bCs/>
                <w:sz w:val="24"/>
                <w:szCs w:val="24"/>
              </w:rPr>
            </w:pPr>
            <w:r w:rsidRPr="00F8231B">
              <w:rPr>
                <w:rFonts w:ascii="Times New Roman" w:hAnsi="Times New Roman"/>
                <w:b/>
                <w:sz w:val="24"/>
                <w:szCs w:val="24"/>
              </w:rPr>
              <w:t>Neatsižvelgta,</w:t>
            </w:r>
            <w:r w:rsidRPr="00715BFD">
              <w:rPr>
                <w:rFonts w:ascii="Times New Roman" w:hAnsi="Times New Roman"/>
                <w:bCs/>
                <w:sz w:val="24"/>
                <w:szCs w:val="24"/>
              </w:rPr>
              <w:t xml:space="preserve"> nes kriterijus tikslinamas siekiant akcentuoti kvietimo tikslą – inovatyvių DI produktų ir (arba) sprendimų sėkmingas kūrimas ir vystymas, kurį geriausiai užtikrinti gali būtent IRT sektoriaus įmonės. Pakeitimas atliekamas remiantis pirmojo kvietimo patirtimi, kuomet didžioji dalis pareiškėjų buvo būtent IRT sektoriaus įmonės, o pramonės įmonėms buvo sudėtinga pagrįsti tinkamus gebėjimus sukurti DI produktus ir (arba) sprendimus. </w:t>
            </w:r>
            <w:r w:rsidR="00F86D03" w:rsidRPr="00715BFD">
              <w:rPr>
                <w:rFonts w:ascii="Times New Roman" w:hAnsi="Times New Roman"/>
                <w:bCs/>
                <w:sz w:val="24"/>
                <w:szCs w:val="24"/>
              </w:rPr>
              <w:t>P</w:t>
            </w:r>
            <w:r w:rsidRPr="00715BFD">
              <w:rPr>
                <w:rFonts w:ascii="Times New Roman" w:hAnsi="Times New Roman"/>
                <w:bCs/>
                <w:sz w:val="24"/>
                <w:szCs w:val="24"/>
              </w:rPr>
              <w:t>ramonės įmonėms suteikiamos sąlygos ir galimybės diegtis jau rinkoje esančius IT sprendimus ir (ar) produktus</w:t>
            </w:r>
            <w:r w:rsidR="00F86D03" w:rsidRPr="00715BFD">
              <w:rPr>
                <w:rFonts w:ascii="Times New Roman" w:hAnsi="Times New Roman"/>
                <w:bCs/>
                <w:sz w:val="24"/>
                <w:szCs w:val="24"/>
              </w:rPr>
              <w:t xml:space="preserve">, teikiant projektų įgyvendinimo planus pagal kvietimą Nr. 02-126-K „Dirbtinio intelekto sprendimų diegimas“, kurį atnaujinti numatoma spalio pradžioje. Tai </w:t>
            </w:r>
            <w:r w:rsidRPr="00715BFD">
              <w:rPr>
                <w:rFonts w:ascii="Times New Roman" w:hAnsi="Times New Roman"/>
                <w:bCs/>
                <w:sz w:val="24"/>
                <w:szCs w:val="24"/>
              </w:rPr>
              <w:t>suteik</w:t>
            </w:r>
            <w:r w:rsidR="00F86D03" w:rsidRPr="00715BFD">
              <w:rPr>
                <w:rFonts w:ascii="Times New Roman" w:hAnsi="Times New Roman"/>
                <w:bCs/>
                <w:sz w:val="24"/>
                <w:szCs w:val="24"/>
              </w:rPr>
              <w:t>s</w:t>
            </w:r>
            <w:r w:rsidRPr="00715BFD">
              <w:rPr>
                <w:rFonts w:ascii="Times New Roman" w:hAnsi="Times New Roman"/>
                <w:bCs/>
                <w:sz w:val="24"/>
                <w:szCs w:val="24"/>
              </w:rPr>
              <w:t xml:space="preserve"> </w:t>
            </w:r>
            <w:r w:rsidR="00F86D03" w:rsidRPr="00715BFD">
              <w:rPr>
                <w:rFonts w:ascii="Times New Roman" w:hAnsi="Times New Roman"/>
                <w:bCs/>
                <w:sz w:val="24"/>
                <w:szCs w:val="24"/>
              </w:rPr>
              <w:t xml:space="preserve">pramonės įmonėms </w:t>
            </w:r>
            <w:r w:rsidRPr="00715BFD">
              <w:rPr>
                <w:rFonts w:ascii="Times New Roman" w:hAnsi="Times New Roman"/>
                <w:bCs/>
                <w:sz w:val="24"/>
                <w:szCs w:val="24"/>
              </w:rPr>
              <w:t xml:space="preserve">galimybę per likusį neilgą laikotarpį modernizuoti įmones ir išnaudoti būtent jiems </w:t>
            </w:r>
            <w:r w:rsidR="00F86D03" w:rsidRPr="00715BFD">
              <w:rPr>
                <w:rFonts w:ascii="Times New Roman" w:hAnsi="Times New Roman"/>
                <w:bCs/>
                <w:sz w:val="24"/>
                <w:szCs w:val="24"/>
              </w:rPr>
              <w:t>skirtą kvietimą</w:t>
            </w:r>
            <w:r w:rsidRPr="00715BFD">
              <w:rPr>
                <w:rFonts w:ascii="Times New Roman" w:hAnsi="Times New Roman"/>
                <w:bCs/>
                <w:sz w:val="24"/>
                <w:szCs w:val="24"/>
              </w:rPr>
              <w:t>.</w:t>
            </w:r>
          </w:p>
        </w:tc>
      </w:tr>
      <w:tr w:rsidR="00EA4131" w:rsidRPr="00715BFD" w14:paraId="34D5F115" w14:textId="77777777" w:rsidTr="00F218A9">
        <w:tc>
          <w:tcPr>
            <w:tcW w:w="567" w:type="dxa"/>
          </w:tcPr>
          <w:p w14:paraId="49B21DAE" w14:textId="0BCF32F0" w:rsidR="00EA4131" w:rsidRPr="00715BFD" w:rsidRDefault="00EA4131" w:rsidP="002B6CF8">
            <w:pPr>
              <w:jc w:val="center"/>
              <w:rPr>
                <w:bCs/>
                <w:szCs w:val="24"/>
                <w:lang w:val="en-US"/>
              </w:rPr>
            </w:pPr>
            <w:r w:rsidRPr="00715BFD">
              <w:rPr>
                <w:bCs/>
                <w:szCs w:val="24"/>
                <w:lang w:val="en-US"/>
              </w:rPr>
              <w:t xml:space="preserve">3. </w:t>
            </w:r>
          </w:p>
        </w:tc>
        <w:tc>
          <w:tcPr>
            <w:tcW w:w="1560" w:type="dxa"/>
            <w:vMerge/>
          </w:tcPr>
          <w:p w14:paraId="51298197" w14:textId="77777777" w:rsidR="00EA4131" w:rsidRPr="00715BFD" w:rsidRDefault="00EA4131" w:rsidP="002B6CF8">
            <w:pPr>
              <w:rPr>
                <w:b/>
                <w:bCs/>
                <w:szCs w:val="24"/>
              </w:rPr>
            </w:pPr>
          </w:p>
        </w:tc>
        <w:tc>
          <w:tcPr>
            <w:tcW w:w="5698" w:type="dxa"/>
          </w:tcPr>
          <w:p w14:paraId="405D4E7B" w14:textId="141AED10" w:rsidR="00EA4131" w:rsidRPr="00715BFD" w:rsidRDefault="00EA4131" w:rsidP="002B6CF8">
            <w:pPr>
              <w:jc w:val="both"/>
              <w:rPr>
                <w:szCs w:val="24"/>
              </w:rPr>
            </w:pPr>
            <w:r w:rsidRPr="00715BFD">
              <w:rPr>
                <w:b/>
                <w:bCs/>
                <w:szCs w:val="24"/>
              </w:rPr>
              <w:t xml:space="preserve">Dėl prioritetinio atrankos kriterijaus – projekto efektyvumas: </w:t>
            </w:r>
            <w:r w:rsidRPr="00715BFD">
              <w:rPr>
                <w:szCs w:val="24"/>
              </w:rPr>
              <w:t xml:space="preserve">Siūlome atsisakyti vertinimo pagal prognozuojamų pajamų augimą. Toks kriterijus suteikią pranašumą pareiškėjams, pateikiantiems optimistiškesnes pajamų prognozes, tačiau savaime neužtikrina, kad jos yra bus pasiektos. DI sritis yra perspektyvi, tačiau itin sparčiai kintanti: sprendimai gali greitai tapti plačiau prieinami, mažėti jų kainos, keistis konkurencinė aplinka ir vartotojų poreikiai. Todėl PĮP pateikimo metu numatytos prognozės gali reikšmingai pasikeisti dėl </w:t>
            </w:r>
            <w:r w:rsidRPr="00715BFD">
              <w:rPr>
                <w:szCs w:val="24"/>
              </w:rPr>
              <w:lastRenderedPageBreak/>
              <w:t>aplinkybių, kurių pareiškėjas negali iš anksto tiksliai įvertinti, pažymėtina, kad projekto įgyvendinimo metu, projekto priežiūros laikotarpiu, projekto vykdytojui nėra suteikiama galimybė peržiūrėti ir koreguoti prognozes pagal aktualias rinkos sąlygas, o rodiklio neapsiekimo atveju agentūra pastaruoju laikotarpiu linkusi taikyti sankcijas, susijusias su skirto finansavimo mažinimu, detaliai neįsigilinus į rinkos ir/ar įmones situaciją. Rekomenduojame vietoje jo vertinti projekto komandos patirtį, kompetencijas, technologinį pagrįstumą, rinkos potencialą (tiksliniai vartotojai, vartotojams sukuriama vertė), numatomo sprendimo taikymo naujumą pagal sritis, pareiškėjų nuosavą indėlį į projektą ar kt. Pažymėtina, kad dabartinėse projektų administravimo ir finansavimo taisyklėse šiuo metu trūksta aiškios metodikos, kuria agentūra vadovaujasi vertindama nurodytą rodiklį projekto priežiūros laikotarpiu, taip pat nėra aišku ar yra pasitelkiami išorės ekspertai išmanantys rinkos situaciją.</w:t>
            </w:r>
          </w:p>
        </w:tc>
        <w:tc>
          <w:tcPr>
            <w:tcW w:w="6946" w:type="dxa"/>
          </w:tcPr>
          <w:p w14:paraId="3E1DB5FE" w14:textId="77777777" w:rsidR="00EA4131" w:rsidRPr="00715BFD" w:rsidRDefault="00EA4131" w:rsidP="002B6CF8">
            <w:pPr>
              <w:pStyle w:val="NoSpacing"/>
              <w:tabs>
                <w:tab w:val="left" w:pos="552"/>
              </w:tabs>
              <w:jc w:val="both"/>
              <w:rPr>
                <w:rFonts w:ascii="Times New Roman" w:hAnsi="Times New Roman"/>
                <w:b/>
                <w:sz w:val="24"/>
                <w:szCs w:val="24"/>
              </w:rPr>
            </w:pPr>
            <w:r w:rsidRPr="00715BFD">
              <w:rPr>
                <w:rFonts w:ascii="Times New Roman" w:hAnsi="Times New Roman"/>
                <w:b/>
                <w:sz w:val="24"/>
                <w:szCs w:val="24"/>
              </w:rPr>
              <w:lastRenderedPageBreak/>
              <w:t>Neatsižvelgta.</w:t>
            </w:r>
          </w:p>
          <w:p w14:paraId="5698893E" w14:textId="2A185659" w:rsidR="00EA4131" w:rsidRPr="00715BFD" w:rsidRDefault="00EA4131" w:rsidP="002B6CF8">
            <w:pPr>
              <w:pStyle w:val="NoSpacing"/>
              <w:tabs>
                <w:tab w:val="left" w:pos="552"/>
              </w:tabs>
              <w:jc w:val="both"/>
              <w:rPr>
                <w:rFonts w:ascii="Times New Roman" w:hAnsi="Times New Roman"/>
                <w:bCs/>
                <w:sz w:val="24"/>
                <w:szCs w:val="24"/>
              </w:rPr>
            </w:pPr>
            <w:r w:rsidRPr="00715BFD">
              <w:rPr>
                <w:rFonts w:ascii="Times New Roman" w:hAnsi="Times New Roman"/>
                <w:bCs/>
                <w:sz w:val="24"/>
                <w:szCs w:val="24"/>
              </w:rPr>
              <w:t xml:space="preserve">Nustatytas kriterijus padės atrinkti projektus, kurie įsipareigos generuoti didesnes pajamas. Tokie projektai prisidės ne tik prie naujų produktų </w:t>
            </w:r>
            <w:proofErr w:type="spellStart"/>
            <w:r w:rsidRPr="00715BFD">
              <w:rPr>
                <w:rFonts w:ascii="Times New Roman" w:hAnsi="Times New Roman"/>
                <w:bCs/>
                <w:sz w:val="24"/>
                <w:szCs w:val="24"/>
              </w:rPr>
              <w:t>komercinimo</w:t>
            </w:r>
            <w:proofErr w:type="spellEnd"/>
            <w:r w:rsidRPr="00715BFD">
              <w:rPr>
                <w:rFonts w:ascii="Times New Roman" w:hAnsi="Times New Roman"/>
                <w:bCs/>
                <w:sz w:val="24"/>
                <w:szCs w:val="24"/>
              </w:rPr>
              <w:t xml:space="preserve">, bet ir padės pasiekti Investicijų programos rodiklio „Investicijas gavusios įmonės pajamų padidėjimas“ numatytas reikšmes. Šis rodiklis yra privalomas pasiekti ir įmonės skatinamos teikti realias prognozes, atitinkančius jų pajėgumus, priešingu atveju taikomos korekcijos ir mažinamas finansavimas. Todėl tokio kriterijaus patvirtinimas paskatins įmones </w:t>
            </w:r>
            <w:r w:rsidRPr="00715BFD">
              <w:rPr>
                <w:rFonts w:ascii="Times New Roman" w:hAnsi="Times New Roman"/>
                <w:bCs/>
                <w:sz w:val="24"/>
                <w:szCs w:val="24"/>
              </w:rPr>
              <w:lastRenderedPageBreak/>
              <w:t>tinkamai įvertinti finansavimo poreikį ir realiai įvertinti siekiamus rezultatus.</w:t>
            </w:r>
          </w:p>
        </w:tc>
      </w:tr>
      <w:tr w:rsidR="00EA4131" w:rsidRPr="00715BFD" w14:paraId="29DDB16E" w14:textId="77777777" w:rsidTr="00F218A9">
        <w:tc>
          <w:tcPr>
            <w:tcW w:w="567" w:type="dxa"/>
          </w:tcPr>
          <w:p w14:paraId="7FBFD2DD" w14:textId="315F750B" w:rsidR="00EA4131" w:rsidRPr="00715BFD" w:rsidRDefault="00EA4131" w:rsidP="002B6CF8">
            <w:pPr>
              <w:jc w:val="center"/>
              <w:rPr>
                <w:bCs/>
                <w:szCs w:val="24"/>
                <w:lang w:val="en-US"/>
              </w:rPr>
            </w:pPr>
            <w:r w:rsidRPr="00715BFD">
              <w:rPr>
                <w:bCs/>
                <w:szCs w:val="24"/>
                <w:lang w:val="en-US"/>
              </w:rPr>
              <w:lastRenderedPageBreak/>
              <w:t>4.</w:t>
            </w:r>
          </w:p>
        </w:tc>
        <w:tc>
          <w:tcPr>
            <w:tcW w:w="1560" w:type="dxa"/>
            <w:vMerge/>
          </w:tcPr>
          <w:p w14:paraId="7D0971ED" w14:textId="77777777" w:rsidR="00EA4131" w:rsidRPr="00715BFD" w:rsidRDefault="00EA4131" w:rsidP="002B6CF8">
            <w:pPr>
              <w:rPr>
                <w:b/>
                <w:bCs/>
                <w:szCs w:val="24"/>
              </w:rPr>
            </w:pPr>
          </w:p>
        </w:tc>
        <w:tc>
          <w:tcPr>
            <w:tcW w:w="5698" w:type="dxa"/>
          </w:tcPr>
          <w:p w14:paraId="26485DE8" w14:textId="77777777" w:rsidR="00EA4131" w:rsidRPr="00715BFD" w:rsidRDefault="00EA4131" w:rsidP="00881064">
            <w:pPr>
              <w:jc w:val="both"/>
              <w:rPr>
                <w:szCs w:val="24"/>
              </w:rPr>
            </w:pPr>
            <w:r w:rsidRPr="00715BFD">
              <w:rPr>
                <w:b/>
                <w:bCs/>
                <w:szCs w:val="24"/>
              </w:rPr>
              <w:t>Dėl prioritetinio atrankos kriterijaus - Kuriant DI produktą (-</w:t>
            </w:r>
            <w:proofErr w:type="spellStart"/>
            <w:r w:rsidRPr="00715BFD">
              <w:rPr>
                <w:b/>
                <w:bCs/>
                <w:szCs w:val="24"/>
              </w:rPr>
              <w:t>us</w:t>
            </w:r>
            <w:proofErr w:type="spellEnd"/>
            <w:r w:rsidRPr="00715BFD">
              <w:rPr>
                <w:b/>
                <w:bCs/>
                <w:szCs w:val="24"/>
              </w:rPr>
              <w:t>) ir (arba) sprendimą (-</w:t>
            </w:r>
            <w:proofErr w:type="spellStart"/>
            <w:r w:rsidRPr="00715BFD">
              <w:rPr>
                <w:b/>
                <w:bCs/>
                <w:szCs w:val="24"/>
              </w:rPr>
              <w:t>us</w:t>
            </w:r>
            <w:proofErr w:type="spellEnd"/>
            <w:r w:rsidRPr="00715BFD">
              <w:rPr>
                <w:b/>
                <w:bCs/>
                <w:szCs w:val="24"/>
              </w:rPr>
              <w:t xml:space="preserve">), bus naudojama didelio našumo skaičiavimo (HPC) infrastruktūra ir (arba) didieji duomenys: </w:t>
            </w:r>
            <w:r w:rsidRPr="00715BFD">
              <w:rPr>
                <w:szCs w:val="24"/>
              </w:rPr>
              <w:t>Reikalavimas kuriant DI produktą ar sprendimą kartu naudoti tiek didelio našumo skaičiavimo (HPC) infrastruktūrą, tiek didžiuosius duomenis nėra proporcingas numatomam finansavimo dydžiui ir daugeliu atvejų nėra technologiškai pagrįstas. Tik nedidelei daliai DI sprendimų būtinas abiejų šių elementų naudojimas, todėl toks kriterijus nepagrįstai apribotų pareiškėjų galimybes. Atsižvelgdami į tai, siūlome išlaikyti ankstesnę kriterijaus formuluotę, kurioje numatoma naudoti HPC infrastruktūrą ir (</w:t>
            </w:r>
            <w:r w:rsidRPr="00715BFD">
              <w:rPr>
                <w:b/>
                <w:bCs/>
                <w:szCs w:val="24"/>
              </w:rPr>
              <w:t>arba</w:t>
            </w:r>
            <w:r w:rsidRPr="00715BFD">
              <w:rPr>
                <w:szCs w:val="24"/>
              </w:rPr>
              <w:t xml:space="preserve">) </w:t>
            </w:r>
            <w:r w:rsidRPr="00715BFD">
              <w:rPr>
                <w:szCs w:val="24"/>
              </w:rPr>
              <w:lastRenderedPageBreak/>
              <w:t>didžiuosius duomenis, nereikalaujant kartu naudoti abiejų elementų, paliekant pakeitimą susijusi su konkretaus didžiųjų duomenų kiekio nurodymo atsisakymą.</w:t>
            </w:r>
          </w:p>
          <w:p w14:paraId="6E6484DC" w14:textId="77777777" w:rsidR="00EA4131" w:rsidRPr="00715BFD" w:rsidRDefault="00EA4131" w:rsidP="002B6CF8">
            <w:pPr>
              <w:jc w:val="both"/>
              <w:rPr>
                <w:szCs w:val="24"/>
              </w:rPr>
            </w:pPr>
          </w:p>
        </w:tc>
        <w:tc>
          <w:tcPr>
            <w:tcW w:w="6946" w:type="dxa"/>
          </w:tcPr>
          <w:p w14:paraId="2149DE31" w14:textId="1C6FEAE2" w:rsidR="00EA4131" w:rsidRPr="00715BFD" w:rsidRDefault="00F8231B" w:rsidP="002B6CF8">
            <w:pPr>
              <w:pStyle w:val="NoSpacing"/>
              <w:tabs>
                <w:tab w:val="left" w:pos="552"/>
              </w:tabs>
              <w:jc w:val="both"/>
              <w:rPr>
                <w:rFonts w:ascii="Times New Roman" w:hAnsi="Times New Roman"/>
                <w:bCs/>
                <w:sz w:val="24"/>
                <w:szCs w:val="24"/>
              </w:rPr>
            </w:pPr>
            <w:r>
              <w:rPr>
                <w:rFonts w:ascii="Times New Roman" w:hAnsi="Times New Roman"/>
                <w:bCs/>
                <w:sz w:val="24"/>
                <w:szCs w:val="24"/>
              </w:rPr>
              <w:lastRenderedPageBreak/>
              <w:t>P</w:t>
            </w:r>
            <w:r w:rsidR="00F86D03" w:rsidRPr="00715BFD">
              <w:rPr>
                <w:rFonts w:ascii="Times New Roman" w:hAnsi="Times New Roman"/>
                <w:bCs/>
                <w:sz w:val="24"/>
                <w:szCs w:val="24"/>
              </w:rPr>
              <w:t xml:space="preserve">aties </w:t>
            </w:r>
            <w:r w:rsidR="00EA4131" w:rsidRPr="00715BFD">
              <w:rPr>
                <w:rFonts w:ascii="Times New Roman" w:hAnsi="Times New Roman"/>
                <w:bCs/>
                <w:sz w:val="24"/>
                <w:szCs w:val="24"/>
              </w:rPr>
              <w:t>kriterij</w:t>
            </w:r>
            <w:r w:rsidR="00F86D03" w:rsidRPr="00715BFD">
              <w:rPr>
                <w:rFonts w:ascii="Times New Roman" w:hAnsi="Times New Roman"/>
                <w:bCs/>
                <w:sz w:val="24"/>
                <w:szCs w:val="24"/>
              </w:rPr>
              <w:t>a</w:t>
            </w:r>
            <w:r w:rsidR="00EA4131" w:rsidRPr="00715BFD">
              <w:rPr>
                <w:rFonts w:ascii="Times New Roman" w:hAnsi="Times New Roman"/>
                <w:bCs/>
                <w:sz w:val="24"/>
                <w:szCs w:val="24"/>
              </w:rPr>
              <w:t>us</w:t>
            </w:r>
            <w:r w:rsidR="00F86D03" w:rsidRPr="00715BFD">
              <w:rPr>
                <w:rFonts w:ascii="Times New Roman" w:hAnsi="Times New Roman"/>
                <w:bCs/>
                <w:sz w:val="24"/>
                <w:szCs w:val="24"/>
              </w:rPr>
              <w:t xml:space="preserve"> formuluotė nėra keičiama, o tik patikslinami vertinimo aspektai. Šis kriterijus</w:t>
            </w:r>
            <w:r w:rsidR="00EA4131" w:rsidRPr="00715BFD">
              <w:rPr>
                <w:rFonts w:ascii="Times New Roman" w:hAnsi="Times New Roman"/>
                <w:bCs/>
                <w:sz w:val="24"/>
                <w:szCs w:val="24"/>
              </w:rPr>
              <w:t xml:space="preserve"> yra prioritetinis</w:t>
            </w:r>
            <w:r w:rsidR="00F86D03" w:rsidRPr="00715BFD">
              <w:rPr>
                <w:rFonts w:ascii="Times New Roman" w:hAnsi="Times New Roman"/>
                <w:bCs/>
                <w:sz w:val="24"/>
                <w:szCs w:val="24"/>
              </w:rPr>
              <w:t xml:space="preserve"> ir nėra reikalauja</w:t>
            </w:r>
            <w:r w:rsidR="00715BFD" w:rsidRPr="00715BFD">
              <w:rPr>
                <w:rFonts w:ascii="Times New Roman" w:hAnsi="Times New Roman"/>
                <w:bCs/>
                <w:sz w:val="24"/>
                <w:szCs w:val="24"/>
              </w:rPr>
              <w:t>ma</w:t>
            </w:r>
            <w:r w:rsidR="00F86D03" w:rsidRPr="00715BFD">
              <w:rPr>
                <w:rFonts w:ascii="Times New Roman" w:hAnsi="Times New Roman"/>
                <w:bCs/>
                <w:sz w:val="24"/>
                <w:szCs w:val="24"/>
              </w:rPr>
              <w:t xml:space="preserve"> kartu naudoti abiejų elementų, </w:t>
            </w:r>
            <w:r w:rsidR="00715BFD" w:rsidRPr="00715BFD">
              <w:rPr>
                <w:rFonts w:ascii="Times New Roman" w:hAnsi="Times New Roman"/>
                <w:bCs/>
                <w:sz w:val="24"/>
                <w:szCs w:val="24"/>
              </w:rPr>
              <w:t>kriterijus</w:t>
            </w:r>
            <w:r w:rsidR="00715BFD" w:rsidRPr="00715BFD">
              <w:rPr>
                <w:rFonts w:ascii="Times New Roman" w:hAnsi="Times New Roman"/>
                <w:bCs/>
                <w:sz w:val="24"/>
                <w:szCs w:val="24"/>
              </w:rPr>
              <w:t xml:space="preserve"> </w:t>
            </w:r>
            <w:r w:rsidR="00EA4131" w:rsidRPr="00715BFD">
              <w:rPr>
                <w:rFonts w:ascii="Times New Roman" w:hAnsi="Times New Roman"/>
                <w:bCs/>
                <w:sz w:val="24"/>
                <w:szCs w:val="24"/>
              </w:rPr>
              <w:t>sutei</w:t>
            </w:r>
            <w:r w:rsidR="00F86D03" w:rsidRPr="00715BFD">
              <w:rPr>
                <w:rFonts w:ascii="Times New Roman" w:hAnsi="Times New Roman"/>
                <w:bCs/>
                <w:sz w:val="24"/>
                <w:szCs w:val="24"/>
              </w:rPr>
              <w:t>k</w:t>
            </w:r>
            <w:r w:rsidR="00EA4131" w:rsidRPr="00715BFD">
              <w:rPr>
                <w:rFonts w:ascii="Times New Roman" w:hAnsi="Times New Roman"/>
                <w:bCs/>
                <w:sz w:val="24"/>
                <w:szCs w:val="24"/>
              </w:rPr>
              <w:t xml:space="preserve">s papildomų balų tiems, kas naudos tiek didelio našumo skaičiavimo (HPC) infrastruktūrą, tiek didžiuosius duomenis. Todėl galimybių teikti projekto įgyvendinimo planus neprarandama, o tiesiog sudaromos sąlygos gauti </w:t>
            </w:r>
            <w:r w:rsidR="00F86D03" w:rsidRPr="00715BFD">
              <w:rPr>
                <w:rFonts w:ascii="Times New Roman" w:hAnsi="Times New Roman"/>
                <w:bCs/>
                <w:sz w:val="24"/>
                <w:szCs w:val="24"/>
              </w:rPr>
              <w:t xml:space="preserve">didesnius </w:t>
            </w:r>
            <w:r w:rsidR="00EA4131" w:rsidRPr="00715BFD">
              <w:rPr>
                <w:rFonts w:ascii="Times New Roman" w:hAnsi="Times New Roman"/>
                <w:bCs/>
                <w:sz w:val="24"/>
                <w:szCs w:val="24"/>
              </w:rPr>
              <w:t>balus</w:t>
            </w:r>
            <w:r w:rsidR="00F86D03" w:rsidRPr="00715BFD">
              <w:rPr>
                <w:rFonts w:ascii="Times New Roman" w:hAnsi="Times New Roman"/>
                <w:bCs/>
                <w:sz w:val="24"/>
                <w:szCs w:val="24"/>
              </w:rPr>
              <w:t xml:space="preserve"> tiems, kurie naudos tiek didelio našumo skaičiavimo (HPC) infrastruktūrą, tiek didžiuosius duomenis</w:t>
            </w:r>
            <w:r w:rsidR="00EA4131" w:rsidRPr="00715BFD">
              <w:rPr>
                <w:rFonts w:ascii="Times New Roman" w:hAnsi="Times New Roman"/>
                <w:bCs/>
                <w:sz w:val="24"/>
                <w:szCs w:val="24"/>
              </w:rPr>
              <w:t>.</w:t>
            </w:r>
          </w:p>
        </w:tc>
      </w:tr>
      <w:tr w:rsidR="00EA4131" w:rsidRPr="00715BFD" w14:paraId="78B3931D" w14:textId="77777777" w:rsidTr="00F218A9">
        <w:tc>
          <w:tcPr>
            <w:tcW w:w="567" w:type="dxa"/>
          </w:tcPr>
          <w:p w14:paraId="7EB3CDD4" w14:textId="1BB3850B" w:rsidR="00EA4131" w:rsidRPr="00715BFD" w:rsidRDefault="00EA4131" w:rsidP="002B6CF8">
            <w:pPr>
              <w:jc w:val="center"/>
              <w:rPr>
                <w:bCs/>
                <w:szCs w:val="24"/>
              </w:rPr>
            </w:pPr>
            <w:r w:rsidRPr="00715BFD">
              <w:rPr>
                <w:bCs/>
                <w:szCs w:val="24"/>
              </w:rPr>
              <w:t>5.</w:t>
            </w:r>
          </w:p>
        </w:tc>
        <w:tc>
          <w:tcPr>
            <w:tcW w:w="1560" w:type="dxa"/>
            <w:vMerge/>
          </w:tcPr>
          <w:p w14:paraId="52EC4449" w14:textId="77777777" w:rsidR="00EA4131" w:rsidRPr="00715BFD" w:rsidRDefault="00EA4131" w:rsidP="002B6CF8">
            <w:pPr>
              <w:rPr>
                <w:b/>
                <w:bCs/>
                <w:szCs w:val="24"/>
              </w:rPr>
            </w:pPr>
          </w:p>
        </w:tc>
        <w:tc>
          <w:tcPr>
            <w:tcW w:w="5698" w:type="dxa"/>
          </w:tcPr>
          <w:p w14:paraId="4D04918A" w14:textId="5595788D" w:rsidR="00EA4131" w:rsidRPr="00715BFD" w:rsidRDefault="00EA4131" w:rsidP="00881064">
            <w:pPr>
              <w:jc w:val="both"/>
              <w:rPr>
                <w:szCs w:val="24"/>
              </w:rPr>
            </w:pPr>
            <w:r w:rsidRPr="00715BFD">
              <w:rPr>
                <w:szCs w:val="24"/>
              </w:rPr>
              <w:t>Dėl prioritetinio atrankos kriterijaus - Pareiškėjas yra sukūręs DI produktą (-</w:t>
            </w:r>
            <w:proofErr w:type="spellStart"/>
            <w:r w:rsidRPr="00715BFD">
              <w:rPr>
                <w:szCs w:val="24"/>
              </w:rPr>
              <w:t>us</w:t>
            </w:r>
            <w:proofErr w:type="spellEnd"/>
            <w:r w:rsidRPr="00715BFD">
              <w:rPr>
                <w:szCs w:val="24"/>
              </w:rPr>
              <w:t>) ir (ar) sprendimą (-</w:t>
            </w:r>
            <w:proofErr w:type="spellStart"/>
            <w:r w:rsidRPr="00715BFD">
              <w:rPr>
                <w:szCs w:val="24"/>
              </w:rPr>
              <w:t>us</w:t>
            </w:r>
            <w:proofErr w:type="spellEnd"/>
            <w:r w:rsidRPr="00715BFD">
              <w:rPr>
                <w:szCs w:val="24"/>
              </w:rPr>
              <w:t>) ir per paskutinius 2 metus iki PĮP pateikimo už jo (jų) pardavimą gavęs ne mažiau kaip 50 000 (penkiasdešimt tūkstančių) Eur pardavimo pajamų: Prašome patikslinti, kokios pajamos būtų laikomos gautomis už pareiškėjo sukurtų DI produktų ir (ar) sprendimų pardavimą. Ar kriterijus apima tik standartizuotų DI produktų, viešai siūlomų rinkai, pardavimo pajamas, ar taip pat pajamas, gautas paslaugų pagrindu konkrečiam užsakovui sukūrus ir perdavus individualų DI sprendimą? Siūlome aiškiai nustatyti, kad tinkamomis laikomos ir pajamos už individualių DI sprendimų sukūrimą bei jų diegimą klientams, jeigu pareiškėjas gali pagrįsti, kad sprendimą sukūrė pats.</w:t>
            </w:r>
          </w:p>
        </w:tc>
        <w:tc>
          <w:tcPr>
            <w:tcW w:w="6946" w:type="dxa"/>
          </w:tcPr>
          <w:p w14:paraId="33D32BFA" w14:textId="77777777" w:rsidR="00EA4131" w:rsidRPr="00715BFD" w:rsidRDefault="00EA4131" w:rsidP="00F8231B">
            <w:pPr>
              <w:tabs>
                <w:tab w:val="left" w:pos="486"/>
              </w:tabs>
              <w:contextualSpacing/>
              <w:jc w:val="both"/>
              <w:rPr>
                <w:bCs/>
                <w:i/>
                <w:szCs w:val="24"/>
              </w:rPr>
            </w:pPr>
            <w:r w:rsidRPr="00715BFD">
              <w:rPr>
                <w:bCs/>
                <w:szCs w:val="24"/>
              </w:rPr>
              <w:t xml:space="preserve">Atkreiptinas dėmesys, kad kriterijaus paaiškinime yra parašyta: </w:t>
            </w:r>
            <w:r w:rsidRPr="00715BFD">
              <w:rPr>
                <w:bCs/>
                <w:i/>
                <w:szCs w:val="24"/>
              </w:rPr>
              <w:t>Pajamos, gautos iš ne už savo sukurtų DI sprendimų ir (ar) produktų pardavimą, nėra vertinamos.</w:t>
            </w:r>
          </w:p>
          <w:p w14:paraId="474AE41F" w14:textId="61566517" w:rsidR="00EA4131" w:rsidRPr="00715BFD" w:rsidRDefault="00EA4131" w:rsidP="00F8231B">
            <w:pPr>
              <w:tabs>
                <w:tab w:val="left" w:pos="486"/>
              </w:tabs>
              <w:contextualSpacing/>
              <w:jc w:val="both"/>
              <w:rPr>
                <w:iCs/>
                <w:szCs w:val="24"/>
              </w:rPr>
            </w:pPr>
            <w:r w:rsidRPr="00715BFD">
              <w:rPr>
                <w:iCs/>
                <w:szCs w:val="24"/>
              </w:rPr>
              <w:t>Vadinasi DI produktas ir (ar) sprendimas turėjo būti sukurtas paties pareiškėjo ir tik už tokių IT produktų ir (ar) sprendimų pardavimą gautos pajamos bus vertinamos kaip tinkamos.</w:t>
            </w:r>
          </w:p>
          <w:p w14:paraId="43503FFD" w14:textId="1F1E4BFC" w:rsidR="00EA4131" w:rsidRPr="00715BFD" w:rsidRDefault="00EA4131" w:rsidP="002B6CF8">
            <w:pPr>
              <w:pStyle w:val="NoSpacing"/>
              <w:tabs>
                <w:tab w:val="left" w:pos="552"/>
              </w:tabs>
              <w:jc w:val="both"/>
              <w:rPr>
                <w:rFonts w:ascii="Times New Roman" w:hAnsi="Times New Roman"/>
                <w:b/>
                <w:sz w:val="24"/>
                <w:szCs w:val="24"/>
              </w:rPr>
            </w:pPr>
          </w:p>
        </w:tc>
      </w:tr>
      <w:tr w:rsidR="00EA4131" w:rsidRPr="00715BFD" w14:paraId="01EADBAD" w14:textId="77777777" w:rsidTr="00F218A9">
        <w:tc>
          <w:tcPr>
            <w:tcW w:w="567" w:type="dxa"/>
          </w:tcPr>
          <w:p w14:paraId="4883C4C8" w14:textId="1436FB10" w:rsidR="00EA4131" w:rsidRPr="00715BFD" w:rsidRDefault="00EA4131" w:rsidP="002B6CF8">
            <w:pPr>
              <w:jc w:val="center"/>
              <w:rPr>
                <w:bCs/>
                <w:szCs w:val="24"/>
              </w:rPr>
            </w:pPr>
            <w:r w:rsidRPr="00715BFD">
              <w:rPr>
                <w:bCs/>
                <w:szCs w:val="24"/>
              </w:rPr>
              <w:t>6.</w:t>
            </w:r>
          </w:p>
        </w:tc>
        <w:tc>
          <w:tcPr>
            <w:tcW w:w="1560" w:type="dxa"/>
            <w:vMerge/>
          </w:tcPr>
          <w:p w14:paraId="022100CE" w14:textId="77777777" w:rsidR="00EA4131" w:rsidRPr="00715BFD" w:rsidRDefault="00EA4131" w:rsidP="002B6CF8">
            <w:pPr>
              <w:rPr>
                <w:b/>
                <w:bCs/>
                <w:szCs w:val="24"/>
              </w:rPr>
            </w:pPr>
          </w:p>
        </w:tc>
        <w:tc>
          <w:tcPr>
            <w:tcW w:w="5698" w:type="dxa"/>
          </w:tcPr>
          <w:p w14:paraId="472891A3" w14:textId="4FE40429" w:rsidR="00EA4131" w:rsidRPr="00715BFD" w:rsidRDefault="00EA4131" w:rsidP="00881064">
            <w:pPr>
              <w:jc w:val="both"/>
              <w:rPr>
                <w:szCs w:val="24"/>
              </w:rPr>
            </w:pPr>
            <w:r w:rsidRPr="00715BFD">
              <w:rPr>
                <w:b/>
                <w:bCs/>
                <w:szCs w:val="24"/>
              </w:rPr>
              <w:t xml:space="preserve">Dėl atsisakomo prioritetinio atrankos kriterijaus - Numatomo (-ų) kurti DI produkto (-ų) ir (arba) sprendimo (-ų) išvystymo lygis pagal pasiektą stadiją - </w:t>
            </w:r>
            <w:r w:rsidRPr="00715BFD">
              <w:rPr>
                <w:szCs w:val="24"/>
              </w:rPr>
              <w:t>Atsisakius projektų skirstymo pagal technologinės parengties lygius (TPL), nėra aišku, nuo kurio TPL gali būti pradedamas įgyvendinti projektas. Prašome patikslinti, ar PĮP galės būti teikiami nepriklausomai nuo esamo DI produkto ir (arba) sprendimo TPL t.</w:t>
            </w:r>
            <w:r w:rsidR="00FF5AA0" w:rsidRPr="00715BFD">
              <w:rPr>
                <w:szCs w:val="24"/>
              </w:rPr>
              <w:t xml:space="preserve"> </w:t>
            </w:r>
            <w:r w:rsidRPr="00715BFD">
              <w:rPr>
                <w:szCs w:val="24"/>
              </w:rPr>
              <w:t>y. ar projektas galės būti pradėtas įgyvendinti tiek nuo idėjos, tiek nuo minimaliai gyvybingo produkto stadijos ?</w:t>
            </w:r>
          </w:p>
        </w:tc>
        <w:tc>
          <w:tcPr>
            <w:tcW w:w="6946" w:type="dxa"/>
          </w:tcPr>
          <w:p w14:paraId="7A67F9E6" w14:textId="239A0C95" w:rsidR="00EA4131" w:rsidRPr="00715BFD" w:rsidRDefault="00EA4131" w:rsidP="002B6CF8">
            <w:pPr>
              <w:pStyle w:val="NoSpacing"/>
              <w:tabs>
                <w:tab w:val="left" w:pos="552"/>
              </w:tabs>
              <w:jc w:val="both"/>
              <w:rPr>
                <w:rFonts w:ascii="Times New Roman" w:hAnsi="Times New Roman"/>
                <w:b/>
                <w:sz w:val="24"/>
                <w:szCs w:val="24"/>
              </w:rPr>
            </w:pPr>
            <w:r w:rsidRPr="00715BFD">
              <w:rPr>
                <w:rFonts w:ascii="Times New Roman" w:eastAsia="Times New Roman" w:hAnsi="Times New Roman"/>
                <w:sz w:val="24"/>
                <w:szCs w:val="24"/>
                <w:lang w:eastAsia="lt-LT"/>
              </w:rPr>
              <w:t xml:space="preserve">Atkreipiame dėmesį, kad </w:t>
            </w:r>
            <w:hyperlink r:id="rId11">
              <w:r w:rsidRPr="00715BFD">
                <w:rPr>
                  <w:rFonts w:ascii="Times New Roman" w:eastAsia="Times New Roman" w:hAnsi="Times New Roman"/>
                  <w:sz w:val="24"/>
                  <w:szCs w:val="24"/>
                  <w:lang w:eastAsia="lt-LT"/>
                </w:rPr>
                <w:t xml:space="preserve">Oslo vadovas (Oslo </w:t>
              </w:r>
              <w:proofErr w:type="spellStart"/>
              <w:r w:rsidRPr="00715BFD">
                <w:rPr>
                  <w:rFonts w:ascii="Times New Roman" w:eastAsia="Times New Roman" w:hAnsi="Times New Roman"/>
                  <w:sz w:val="24"/>
                  <w:szCs w:val="24"/>
                  <w:lang w:eastAsia="lt-LT"/>
                </w:rPr>
                <w:t>manual</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Guidelines</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for</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Collecting</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and</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Interpreting</w:t>
              </w:r>
              <w:proofErr w:type="spellEnd"/>
              <w:r w:rsidRPr="00715BFD">
                <w:rPr>
                  <w:rFonts w:ascii="Times New Roman" w:eastAsia="Times New Roman" w:hAnsi="Times New Roman"/>
                  <w:sz w:val="24"/>
                  <w:szCs w:val="24"/>
                  <w:lang w:eastAsia="lt-LT"/>
                </w:rPr>
                <w:t xml:space="preserve"> </w:t>
              </w:r>
              <w:proofErr w:type="spellStart"/>
              <w:r w:rsidRPr="00715BFD">
                <w:rPr>
                  <w:rFonts w:ascii="Times New Roman" w:eastAsia="Times New Roman" w:hAnsi="Times New Roman"/>
                  <w:sz w:val="24"/>
                  <w:szCs w:val="24"/>
                  <w:lang w:eastAsia="lt-LT"/>
                </w:rPr>
                <w:t>Innovation</w:t>
              </w:r>
              <w:proofErr w:type="spellEnd"/>
              <w:r w:rsidRPr="00715BFD">
                <w:rPr>
                  <w:rFonts w:ascii="Times New Roman" w:eastAsia="Times New Roman" w:hAnsi="Times New Roman"/>
                  <w:sz w:val="24"/>
                  <w:szCs w:val="24"/>
                  <w:lang w:eastAsia="lt-LT"/>
                </w:rPr>
                <w:t xml:space="preserve"> Data, 4rd Edition, OECD, </w:t>
              </w:r>
              <w:proofErr w:type="spellStart"/>
              <w:r w:rsidRPr="00715BFD">
                <w:rPr>
                  <w:rFonts w:ascii="Times New Roman" w:eastAsia="Times New Roman" w:hAnsi="Times New Roman"/>
                  <w:sz w:val="24"/>
                  <w:szCs w:val="24"/>
                  <w:lang w:eastAsia="lt-LT"/>
                </w:rPr>
                <w:t>Eurostat</w:t>
              </w:r>
              <w:proofErr w:type="spellEnd"/>
              <w:r w:rsidRPr="00715BFD">
                <w:rPr>
                  <w:rFonts w:ascii="Times New Roman" w:eastAsia="Times New Roman" w:hAnsi="Times New Roman"/>
                  <w:sz w:val="24"/>
                  <w:szCs w:val="24"/>
                  <w:lang w:eastAsia="lt-LT"/>
                </w:rPr>
                <w:t>, 2018)</w:t>
              </w:r>
            </w:hyperlink>
            <w:r w:rsidRPr="00715BFD">
              <w:rPr>
                <w:rFonts w:ascii="Times New Roman" w:eastAsia="Times New Roman" w:hAnsi="Times New Roman"/>
                <w:sz w:val="24"/>
                <w:szCs w:val="24"/>
                <w:lang w:eastAsia="lt-LT"/>
              </w:rPr>
              <w:t xml:space="preserve"> yra skirtas mokslinės, technologinės ir inovacinės veiklos matavimui, o investicijos į mokslinius tyrimus ir eksperimentinę plėtrą vertinamos pagal </w:t>
            </w:r>
            <w:proofErr w:type="spellStart"/>
            <w:r w:rsidRPr="00715BFD">
              <w:rPr>
                <w:rFonts w:ascii="Times New Roman" w:eastAsia="Times New Roman" w:hAnsi="Times New Roman"/>
                <w:sz w:val="24"/>
                <w:szCs w:val="24"/>
                <w:lang w:eastAsia="lt-LT"/>
              </w:rPr>
              <w:t>Frascati</w:t>
            </w:r>
            <w:proofErr w:type="spellEnd"/>
            <w:r w:rsidRPr="00715BFD">
              <w:rPr>
                <w:rFonts w:ascii="Times New Roman" w:eastAsia="Times New Roman" w:hAnsi="Times New Roman"/>
                <w:sz w:val="24"/>
                <w:szCs w:val="24"/>
                <w:lang w:eastAsia="lt-LT"/>
              </w:rPr>
              <w:t xml:space="preserve"> vadovą, tad šiuo atveju tikslingai pasirinktas būtent Oslo vadovas, nes kuriant informacinių ryšių ir technologijų srities inovacijas nebūtinai vykdomos mokslinių tyrimų ir eksperimentinės plėtros veiklos, todėl nebus reikalaujama projekto metu būtinai vykdyti mokslinius tyrimus ir eksperimentinės plėtros veiklas. Todėl ir TPL nebus vertinami ir projektai nebus pagal tai reitinguojami.</w:t>
            </w:r>
          </w:p>
        </w:tc>
      </w:tr>
    </w:tbl>
    <w:p w14:paraId="00AABEA2" w14:textId="77777777" w:rsidR="005C5ECB" w:rsidRPr="007F3956" w:rsidRDefault="005C5ECB">
      <w:pPr>
        <w:rPr>
          <w:rFonts w:eastAsia="Calibri"/>
          <w:szCs w:val="24"/>
          <w:lang w:eastAsia="en-US"/>
        </w:rPr>
      </w:pPr>
    </w:p>
    <w:p w14:paraId="255DC35E" w14:textId="77777777" w:rsidR="009C5818" w:rsidRPr="007F3956" w:rsidRDefault="009C5818">
      <w:pPr>
        <w:rPr>
          <w:rFonts w:eastAsia="Calibri"/>
          <w:szCs w:val="24"/>
          <w:lang w:eastAsia="en-US"/>
        </w:rPr>
      </w:pPr>
    </w:p>
    <w:p w14:paraId="5A6E1EF1" w14:textId="77777777" w:rsidR="00786584" w:rsidRPr="00BD0CD7" w:rsidRDefault="00786584">
      <w:pPr>
        <w:rPr>
          <w:rFonts w:eastAsia="Calibri"/>
          <w:szCs w:val="24"/>
          <w:lang w:eastAsia="en-US"/>
        </w:rPr>
      </w:pPr>
    </w:p>
    <w:sectPr w:rsidR="00786584" w:rsidRPr="00BD0CD7" w:rsidSect="003940F3">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4F27" w14:textId="77777777" w:rsidR="005B065C" w:rsidRDefault="005B065C" w:rsidP="003940F3">
      <w:r>
        <w:separator/>
      </w:r>
    </w:p>
  </w:endnote>
  <w:endnote w:type="continuationSeparator" w:id="0">
    <w:p w14:paraId="6DBC4CB2" w14:textId="77777777" w:rsidR="005B065C" w:rsidRDefault="005B065C" w:rsidP="0039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1228" w14:textId="77777777" w:rsidR="003940F3" w:rsidRDefault="00394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9DD6" w14:textId="77777777" w:rsidR="003940F3" w:rsidRDefault="003940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B377" w14:textId="77777777" w:rsidR="003940F3" w:rsidRDefault="00394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E938" w14:textId="77777777" w:rsidR="005B065C" w:rsidRDefault="005B065C" w:rsidP="003940F3">
      <w:r>
        <w:separator/>
      </w:r>
    </w:p>
  </w:footnote>
  <w:footnote w:type="continuationSeparator" w:id="0">
    <w:p w14:paraId="2AA773C4" w14:textId="77777777" w:rsidR="005B065C" w:rsidRDefault="005B065C" w:rsidP="0039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A5EB" w14:textId="77777777" w:rsidR="003940F3" w:rsidRDefault="00394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048512"/>
      <w:docPartObj>
        <w:docPartGallery w:val="Page Numbers (Top of Page)"/>
        <w:docPartUnique/>
      </w:docPartObj>
    </w:sdtPr>
    <w:sdtEndPr/>
    <w:sdtContent>
      <w:p w14:paraId="79AEDFE0" w14:textId="6B5879F1" w:rsidR="003940F3" w:rsidRDefault="003940F3">
        <w:pPr>
          <w:pStyle w:val="Header"/>
          <w:jc w:val="center"/>
        </w:pPr>
        <w:r>
          <w:fldChar w:fldCharType="begin"/>
        </w:r>
        <w:r>
          <w:instrText>PAGE   \* MERGEFORMAT</w:instrText>
        </w:r>
        <w:r>
          <w:fldChar w:fldCharType="separate"/>
        </w:r>
        <w:r>
          <w:t>2</w:t>
        </w:r>
        <w:r>
          <w:fldChar w:fldCharType="end"/>
        </w:r>
      </w:p>
    </w:sdtContent>
  </w:sdt>
  <w:p w14:paraId="2B083A92" w14:textId="77777777" w:rsidR="003940F3" w:rsidRDefault="00394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6FAD" w14:textId="77777777" w:rsidR="003940F3" w:rsidRDefault="00394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54BA"/>
    <w:multiLevelType w:val="hybridMultilevel"/>
    <w:tmpl w:val="79B0B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E1839"/>
    <w:multiLevelType w:val="hybridMultilevel"/>
    <w:tmpl w:val="4E9A0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40085E"/>
    <w:multiLevelType w:val="multilevel"/>
    <w:tmpl w:val="6FEC46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F054AB0"/>
    <w:multiLevelType w:val="hybridMultilevel"/>
    <w:tmpl w:val="9752D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36467D"/>
    <w:multiLevelType w:val="hybridMultilevel"/>
    <w:tmpl w:val="B85C573C"/>
    <w:lvl w:ilvl="0" w:tplc="BDCA7BD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7A0720"/>
    <w:multiLevelType w:val="hybridMultilevel"/>
    <w:tmpl w:val="3B12ACF2"/>
    <w:lvl w:ilvl="0" w:tplc="F904D03C">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6" w15:restartNumberingAfterBreak="0">
    <w:nsid w:val="34F72D24"/>
    <w:multiLevelType w:val="hybridMultilevel"/>
    <w:tmpl w:val="C762A306"/>
    <w:lvl w:ilvl="0" w:tplc="04090011">
      <w:start w:val="1"/>
      <w:numFmt w:val="decimal"/>
      <w:lvlText w:val="%1)"/>
      <w:lvlJc w:val="left"/>
      <w:pPr>
        <w:ind w:left="13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3B6E62"/>
    <w:multiLevelType w:val="hybridMultilevel"/>
    <w:tmpl w:val="73645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66634"/>
    <w:multiLevelType w:val="multilevel"/>
    <w:tmpl w:val="68365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F95D9B"/>
    <w:multiLevelType w:val="hybridMultilevel"/>
    <w:tmpl w:val="88361AC4"/>
    <w:lvl w:ilvl="0" w:tplc="54A831E0">
      <w:start w:val="1"/>
      <w:numFmt w:val="decimal"/>
      <w:lvlText w:val="%1."/>
      <w:lvlJc w:val="left"/>
      <w:pPr>
        <w:ind w:left="720" w:hanging="360"/>
      </w:pPr>
      <w:rPr>
        <w:rFonts w:hint="default"/>
        <w:b/>
        <w:bCs w:val="0"/>
        <w:i/>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5B12484"/>
    <w:multiLevelType w:val="hybridMultilevel"/>
    <w:tmpl w:val="06181FCC"/>
    <w:lvl w:ilvl="0" w:tplc="CBB0B520">
      <w:numFmt w:val="bullet"/>
      <w:lvlText w:val="-"/>
      <w:lvlJc w:val="left"/>
      <w:pPr>
        <w:ind w:left="720" w:hanging="360"/>
      </w:pPr>
      <w:rPr>
        <w:rFonts w:ascii="Verdana" w:eastAsia="Calibri" w:hAnsi="Verdana"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573B3FD7"/>
    <w:multiLevelType w:val="hybridMultilevel"/>
    <w:tmpl w:val="4FCCD32E"/>
    <w:lvl w:ilvl="0" w:tplc="EB2690E4">
      <w:start w:val="1"/>
      <w:numFmt w:val="decimal"/>
      <w:lvlText w:val="%1."/>
      <w:lvlJc w:val="left"/>
      <w:pPr>
        <w:ind w:left="720" w:hanging="360"/>
      </w:pPr>
      <w:rPr>
        <w:rFonts w:ascii="Times New Roman" w:eastAsia="Calibri"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9232BFF"/>
    <w:multiLevelType w:val="hybridMultilevel"/>
    <w:tmpl w:val="A10CB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EA632D0"/>
    <w:multiLevelType w:val="hybridMultilevel"/>
    <w:tmpl w:val="490829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75A803EB"/>
    <w:multiLevelType w:val="hybridMultilevel"/>
    <w:tmpl w:val="E43A0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CF213EC"/>
    <w:multiLevelType w:val="hybridMultilevel"/>
    <w:tmpl w:val="B5B67670"/>
    <w:lvl w:ilvl="0" w:tplc="19984782">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6" w15:restartNumberingAfterBreak="0">
    <w:nsid w:val="7F1F2A98"/>
    <w:multiLevelType w:val="multilevel"/>
    <w:tmpl w:val="A1000C24"/>
    <w:lvl w:ilvl="0">
      <w:start w:val="2"/>
      <w:numFmt w:val="decimal"/>
      <w:lvlText w:val="%1."/>
      <w:lvlJc w:val="left"/>
      <w:pPr>
        <w:ind w:left="480" w:hanging="480"/>
      </w:pPr>
      <w:rPr>
        <w:rFonts w:hint="default"/>
      </w:rPr>
    </w:lvl>
    <w:lvl w:ilvl="1">
      <w:start w:val="15"/>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Zero"/>
      <w:lvlText w:val="%1.%2.%3.%4."/>
      <w:lvlJc w:val="left"/>
      <w:pPr>
        <w:ind w:left="2652" w:hanging="720"/>
      </w:pPr>
      <w:rPr>
        <w:rFonts w:hint="default"/>
      </w:rPr>
    </w:lvl>
    <w:lvl w:ilvl="4">
      <w:start w:val="1"/>
      <w:numFmt w:val="decimalZero"/>
      <w:lvlText w:val="%1.%2.%3.%4.%5."/>
      <w:lvlJc w:val="left"/>
      <w:pPr>
        <w:ind w:left="3656" w:hanging="1080"/>
      </w:pPr>
      <w:rPr>
        <w:rFonts w:hint="default"/>
      </w:rPr>
    </w:lvl>
    <w:lvl w:ilvl="5">
      <w:start w:val="1"/>
      <w:numFmt w:val="decimalZero"/>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1712344893">
    <w:abstractNumId w:val="13"/>
  </w:num>
  <w:num w:numId="2" w16cid:durableId="932131581">
    <w:abstractNumId w:val="12"/>
  </w:num>
  <w:num w:numId="3" w16cid:durableId="1619332786">
    <w:abstractNumId w:val="14"/>
  </w:num>
  <w:num w:numId="4" w16cid:durableId="1502549054">
    <w:abstractNumId w:val="1"/>
  </w:num>
  <w:num w:numId="5" w16cid:durableId="1052147479">
    <w:abstractNumId w:val="3"/>
  </w:num>
  <w:num w:numId="6" w16cid:durableId="309411299">
    <w:abstractNumId w:val="0"/>
  </w:num>
  <w:num w:numId="7" w16cid:durableId="648948794">
    <w:abstractNumId w:val="5"/>
  </w:num>
  <w:num w:numId="8" w16cid:durableId="790318270">
    <w:abstractNumId w:val="7"/>
  </w:num>
  <w:num w:numId="9" w16cid:durableId="351537401">
    <w:abstractNumId w:val="15"/>
  </w:num>
  <w:num w:numId="10" w16cid:durableId="392699821">
    <w:abstractNumId w:val="6"/>
  </w:num>
  <w:num w:numId="11" w16cid:durableId="1000083785">
    <w:abstractNumId w:val="16"/>
  </w:num>
  <w:num w:numId="12" w16cid:durableId="1321344017">
    <w:abstractNumId w:val="10"/>
  </w:num>
  <w:num w:numId="13" w16cid:durableId="49620565">
    <w:abstractNumId w:val="9"/>
  </w:num>
  <w:num w:numId="14" w16cid:durableId="406348896">
    <w:abstractNumId w:val="11"/>
  </w:num>
  <w:num w:numId="15" w16cid:durableId="2057510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1664432">
    <w:abstractNumId w:val="8"/>
  </w:num>
  <w:num w:numId="17" w16cid:durableId="624778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62A"/>
    <w:rsid w:val="0000377E"/>
    <w:rsid w:val="00005FAA"/>
    <w:rsid w:val="00007463"/>
    <w:rsid w:val="0001428A"/>
    <w:rsid w:val="00015942"/>
    <w:rsid w:val="00016435"/>
    <w:rsid w:val="00017566"/>
    <w:rsid w:val="000202E8"/>
    <w:rsid w:val="00023010"/>
    <w:rsid w:val="00023D8B"/>
    <w:rsid w:val="000240C4"/>
    <w:rsid w:val="00030D25"/>
    <w:rsid w:val="00030DBB"/>
    <w:rsid w:val="0003188A"/>
    <w:rsid w:val="00032985"/>
    <w:rsid w:val="00033CEB"/>
    <w:rsid w:val="00044CAB"/>
    <w:rsid w:val="00046DFE"/>
    <w:rsid w:val="00050427"/>
    <w:rsid w:val="00053271"/>
    <w:rsid w:val="00053D41"/>
    <w:rsid w:val="00055508"/>
    <w:rsid w:val="00060B0B"/>
    <w:rsid w:val="00062518"/>
    <w:rsid w:val="00063152"/>
    <w:rsid w:val="000640C7"/>
    <w:rsid w:val="00066215"/>
    <w:rsid w:val="000671F1"/>
    <w:rsid w:val="00070B21"/>
    <w:rsid w:val="00070ED6"/>
    <w:rsid w:val="00070EF3"/>
    <w:rsid w:val="00073EAB"/>
    <w:rsid w:val="00077247"/>
    <w:rsid w:val="00081BC9"/>
    <w:rsid w:val="000844E7"/>
    <w:rsid w:val="000909EB"/>
    <w:rsid w:val="00095A64"/>
    <w:rsid w:val="00095B14"/>
    <w:rsid w:val="00096A65"/>
    <w:rsid w:val="000A0E20"/>
    <w:rsid w:val="000A3FD2"/>
    <w:rsid w:val="000B19E9"/>
    <w:rsid w:val="000B1AF5"/>
    <w:rsid w:val="000B2D7C"/>
    <w:rsid w:val="000B389E"/>
    <w:rsid w:val="000B7125"/>
    <w:rsid w:val="000C3443"/>
    <w:rsid w:val="000C6DCD"/>
    <w:rsid w:val="000D22BB"/>
    <w:rsid w:val="000D2E71"/>
    <w:rsid w:val="000D3EFE"/>
    <w:rsid w:val="000D748B"/>
    <w:rsid w:val="000E057B"/>
    <w:rsid w:val="000E128C"/>
    <w:rsid w:val="000E1F0C"/>
    <w:rsid w:val="000E275C"/>
    <w:rsid w:val="000E5A48"/>
    <w:rsid w:val="000E7A99"/>
    <w:rsid w:val="000F1049"/>
    <w:rsid w:val="000F5CE6"/>
    <w:rsid w:val="001011F0"/>
    <w:rsid w:val="00105F91"/>
    <w:rsid w:val="001132AD"/>
    <w:rsid w:val="00115372"/>
    <w:rsid w:val="0011647B"/>
    <w:rsid w:val="00124A1B"/>
    <w:rsid w:val="00143277"/>
    <w:rsid w:val="001445E4"/>
    <w:rsid w:val="00150823"/>
    <w:rsid w:val="00150B26"/>
    <w:rsid w:val="00156FCF"/>
    <w:rsid w:val="00157004"/>
    <w:rsid w:val="001577E4"/>
    <w:rsid w:val="00162289"/>
    <w:rsid w:val="001661A8"/>
    <w:rsid w:val="001705CF"/>
    <w:rsid w:val="001706A0"/>
    <w:rsid w:val="00175B04"/>
    <w:rsid w:val="0018373E"/>
    <w:rsid w:val="0018469B"/>
    <w:rsid w:val="00184FC3"/>
    <w:rsid w:val="00186511"/>
    <w:rsid w:val="0019085C"/>
    <w:rsid w:val="00191782"/>
    <w:rsid w:val="00191A6E"/>
    <w:rsid w:val="001923DD"/>
    <w:rsid w:val="00194702"/>
    <w:rsid w:val="001A0E47"/>
    <w:rsid w:val="001A5935"/>
    <w:rsid w:val="001B2453"/>
    <w:rsid w:val="001C14FD"/>
    <w:rsid w:val="001C2F60"/>
    <w:rsid w:val="001C65B5"/>
    <w:rsid w:val="001D0FA0"/>
    <w:rsid w:val="001D3C04"/>
    <w:rsid w:val="001D6507"/>
    <w:rsid w:val="001D6F4A"/>
    <w:rsid w:val="001E4CE7"/>
    <w:rsid w:val="001E6433"/>
    <w:rsid w:val="001E6748"/>
    <w:rsid w:val="001E67A5"/>
    <w:rsid w:val="001E7146"/>
    <w:rsid w:val="001E754D"/>
    <w:rsid w:val="001F4D9A"/>
    <w:rsid w:val="001F68A7"/>
    <w:rsid w:val="001F7C29"/>
    <w:rsid w:val="0020434A"/>
    <w:rsid w:val="00207E63"/>
    <w:rsid w:val="00211B2A"/>
    <w:rsid w:val="00212ADD"/>
    <w:rsid w:val="00224286"/>
    <w:rsid w:val="0022435B"/>
    <w:rsid w:val="0023024D"/>
    <w:rsid w:val="00233335"/>
    <w:rsid w:val="00234AE2"/>
    <w:rsid w:val="00241069"/>
    <w:rsid w:val="00241C69"/>
    <w:rsid w:val="0024541C"/>
    <w:rsid w:val="00247BB5"/>
    <w:rsid w:val="00256152"/>
    <w:rsid w:val="00256BE3"/>
    <w:rsid w:val="00266F48"/>
    <w:rsid w:val="00270AE5"/>
    <w:rsid w:val="00271242"/>
    <w:rsid w:val="0027186C"/>
    <w:rsid w:val="002730D8"/>
    <w:rsid w:val="00280FCB"/>
    <w:rsid w:val="00281473"/>
    <w:rsid w:val="00282D46"/>
    <w:rsid w:val="002923A6"/>
    <w:rsid w:val="002929F7"/>
    <w:rsid w:val="00294FB1"/>
    <w:rsid w:val="00297D19"/>
    <w:rsid w:val="002A27A2"/>
    <w:rsid w:val="002A2BDD"/>
    <w:rsid w:val="002B1648"/>
    <w:rsid w:val="002B31F3"/>
    <w:rsid w:val="002B6CF8"/>
    <w:rsid w:val="002C1C03"/>
    <w:rsid w:val="002C57F4"/>
    <w:rsid w:val="002C7036"/>
    <w:rsid w:val="002C7407"/>
    <w:rsid w:val="002C79BA"/>
    <w:rsid w:val="002D0B08"/>
    <w:rsid w:val="002D1CED"/>
    <w:rsid w:val="002D4D56"/>
    <w:rsid w:val="002D6D79"/>
    <w:rsid w:val="002D7C38"/>
    <w:rsid w:val="002E1B28"/>
    <w:rsid w:val="002F3746"/>
    <w:rsid w:val="002F4AAE"/>
    <w:rsid w:val="00307393"/>
    <w:rsid w:val="00316D2C"/>
    <w:rsid w:val="003214A4"/>
    <w:rsid w:val="003245DF"/>
    <w:rsid w:val="00330974"/>
    <w:rsid w:val="00330EC9"/>
    <w:rsid w:val="00333A39"/>
    <w:rsid w:val="00344A49"/>
    <w:rsid w:val="0034540C"/>
    <w:rsid w:val="00347C65"/>
    <w:rsid w:val="003529B3"/>
    <w:rsid w:val="003652F0"/>
    <w:rsid w:val="00366151"/>
    <w:rsid w:val="0036662A"/>
    <w:rsid w:val="003865B8"/>
    <w:rsid w:val="00391584"/>
    <w:rsid w:val="0039259D"/>
    <w:rsid w:val="00393F28"/>
    <w:rsid w:val="003940F3"/>
    <w:rsid w:val="003943DC"/>
    <w:rsid w:val="00397AD7"/>
    <w:rsid w:val="003A1AD9"/>
    <w:rsid w:val="003A200A"/>
    <w:rsid w:val="003A332E"/>
    <w:rsid w:val="003B2FAE"/>
    <w:rsid w:val="003B6643"/>
    <w:rsid w:val="003B6A9B"/>
    <w:rsid w:val="003B726A"/>
    <w:rsid w:val="003C6054"/>
    <w:rsid w:val="003D4E0E"/>
    <w:rsid w:val="003D4EB4"/>
    <w:rsid w:val="003E09D5"/>
    <w:rsid w:val="003E77A4"/>
    <w:rsid w:val="003F50A1"/>
    <w:rsid w:val="003F5676"/>
    <w:rsid w:val="003F7DF8"/>
    <w:rsid w:val="0040628C"/>
    <w:rsid w:val="00411C08"/>
    <w:rsid w:val="004136A8"/>
    <w:rsid w:val="00414392"/>
    <w:rsid w:val="00417DC7"/>
    <w:rsid w:val="00421AD5"/>
    <w:rsid w:val="004322A4"/>
    <w:rsid w:val="004378EE"/>
    <w:rsid w:val="00447D74"/>
    <w:rsid w:val="00452AAF"/>
    <w:rsid w:val="00452FA3"/>
    <w:rsid w:val="00455305"/>
    <w:rsid w:val="004619C0"/>
    <w:rsid w:val="004631DA"/>
    <w:rsid w:val="004639C4"/>
    <w:rsid w:val="00475D1E"/>
    <w:rsid w:val="00475E13"/>
    <w:rsid w:val="00482B56"/>
    <w:rsid w:val="004853EA"/>
    <w:rsid w:val="00485479"/>
    <w:rsid w:val="00485F22"/>
    <w:rsid w:val="00487204"/>
    <w:rsid w:val="004876E5"/>
    <w:rsid w:val="004923DB"/>
    <w:rsid w:val="004A0897"/>
    <w:rsid w:val="004A42BF"/>
    <w:rsid w:val="004A5F41"/>
    <w:rsid w:val="004A6A07"/>
    <w:rsid w:val="004A704E"/>
    <w:rsid w:val="004B2CD5"/>
    <w:rsid w:val="004B5C52"/>
    <w:rsid w:val="004C1CE4"/>
    <w:rsid w:val="004C44BD"/>
    <w:rsid w:val="004C58E9"/>
    <w:rsid w:val="004D11D5"/>
    <w:rsid w:val="004D1FB6"/>
    <w:rsid w:val="004D5FC3"/>
    <w:rsid w:val="004D66FF"/>
    <w:rsid w:val="004E0590"/>
    <w:rsid w:val="004E358F"/>
    <w:rsid w:val="004E6B69"/>
    <w:rsid w:val="004F7609"/>
    <w:rsid w:val="005004F3"/>
    <w:rsid w:val="005054C5"/>
    <w:rsid w:val="00510A85"/>
    <w:rsid w:val="005206B0"/>
    <w:rsid w:val="00520904"/>
    <w:rsid w:val="0052522F"/>
    <w:rsid w:val="00527115"/>
    <w:rsid w:val="0053023F"/>
    <w:rsid w:val="005303DC"/>
    <w:rsid w:val="00530480"/>
    <w:rsid w:val="00530815"/>
    <w:rsid w:val="0053182B"/>
    <w:rsid w:val="005376D6"/>
    <w:rsid w:val="0054453C"/>
    <w:rsid w:val="00545CE9"/>
    <w:rsid w:val="00547C74"/>
    <w:rsid w:val="005516A5"/>
    <w:rsid w:val="005533C2"/>
    <w:rsid w:val="00555EAA"/>
    <w:rsid w:val="00563838"/>
    <w:rsid w:val="00563B3D"/>
    <w:rsid w:val="005671CE"/>
    <w:rsid w:val="00571253"/>
    <w:rsid w:val="0057371A"/>
    <w:rsid w:val="00581700"/>
    <w:rsid w:val="00581B51"/>
    <w:rsid w:val="005903F9"/>
    <w:rsid w:val="00593EE0"/>
    <w:rsid w:val="005953D7"/>
    <w:rsid w:val="00597AFF"/>
    <w:rsid w:val="005A0AC7"/>
    <w:rsid w:val="005A3FE6"/>
    <w:rsid w:val="005A4A5F"/>
    <w:rsid w:val="005A640D"/>
    <w:rsid w:val="005A771F"/>
    <w:rsid w:val="005B0565"/>
    <w:rsid w:val="005B065C"/>
    <w:rsid w:val="005B09A6"/>
    <w:rsid w:val="005B1293"/>
    <w:rsid w:val="005B6C49"/>
    <w:rsid w:val="005B79FB"/>
    <w:rsid w:val="005B7C13"/>
    <w:rsid w:val="005C11A9"/>
    <w:rsid w:val="005C492A"/>
    <w:rsid w:val="005C4F5A"/>
    <w:rsid w:val="005C5B4A"/>
    <w:rsid w:val="005C5ECB"/>
    <w:rsid w:val="005D1053"/>
    <w:rsid w:val="005E0604"/>
    <w:rsid w:val="005E1221"/>
    <w:rsid w:val="005E5744"/>
    <w:rsid w:val="005E647A"/>
    <w:rsid w:val="005F038F"/>
    <w:rsid w:val="005F0F88"/>
    <w:rsid w:val="005F3877"/>
    <w:rsid w:val="006078D1"/>
    <w:rsid w:val="00607C88"/>
    <w:rsid w:val="006106A7"/>
    <w:rsid w:val="00611C52"/>
    <w:rsid w:val="00613BBB"/>
    <w:rsid w:val="00614F43"/>
    <w:rsid w:val="00615ACB"/>
    <w:rsid w:val="006179ED"/>
    <w:rsid w:val="00621182"/>
    <w:rsid w:val="006259D7"/>
    <w:rsid w:val="00626D21"/>
    <w:rsid w:val="006301B9"/>
    <w:rsid w:val="00631726"/>
    <w:rsid w:val="00633EC5"/>
    <w:rsid w:val="006351B9"/>
    <w:rsid w:val="00635B87"/>
    <w:rsid w:val="0064720A"/>
    <w:rsid w:val="00647DE4"/>
    <w:rsid w:val="006507EE"/>
    <w:rsid w:val="00661D02"/>
    <w:rsid w:val="00665BE2"/>
    <w:rsid w:val="0067708D"/>
    <w:rsid w:val="0067787C"/>
    <w:rsid w:val="00677B1E"/>
    <w:rsid w:val="00677C93"/>
    <w:rsid w:val="006824CC"/>
    <w:rsid w:val="00682547"/>
    <w:rsid w:val="006836FA"/>
    <w:rsid w:val="00686E67"/>
    <w:rsid w:val="00690AB6"/>
    <w:rsid w:val="00690B46"/>
    <w:rsid w:val="00696DBF"/>
    <w:rsid w:val="00696E7D"/>
    <w:rsid w:val="006A1E78"/>
    <w:rsid w:val="006A22E2"/>
    <w:rsid w:val="006A78E4"/>
    <w:rsid w:val="006B0D85"/>
    <w:rsid w:val="006B0DD6"/>
    <w:rsid w:val="006B526A"/>
    <w:rsid w:val="006B75D2"/>
    <w:rsid w:val="006B78B4"/>
    <w:rsid w:val="006C0163"/>
    <w:rsid w:val="006D1718"/>
    <w:rsid w:val="006D5739"/>
    <w:rsid w:val="006E05A9"/>
    <w:rsid w:val="006E0B8B"/>
    <w:rsid w:val="006E16C9"/>
    <w:rsid w:val="006E67AE"/>
    <w:rsid w:val="006E798D"/>
    <w:rsid w:val="006E7C89"/>
    <w:rsid w:val="006F23CE"/>
    <w:rsid w:val="0070221E"/>
    <w:rsid w:val="007050CA"/>
    <w:rsid w:val="007070F4"/>
    <w:rsid w:val="00707C95"/>
    <w:rsid w:val="00710DD2"/>
    <w:rsid w:val="00715BFD"/>
    <w:rsid w:val="0072623F"/>
    <w:rsid w:val="007263AF"/>
    <w:rsid w:val="00727011"/>
    <w:rsid w:val="007350FF"/>
    <w:rsid w:val="00737325"/>
    <w:rsid w:val="007410B0"/>
    <w:rsid w:val="00741C32"/>
    <w:rsid w:val="00742585"/>
    <w:rsid w:val="00747BC9"/>
    <w:rsid w:val="00751DDD"/>
    <w:rsid w:val="00753051"/>
    <w:rsid w:val="007537EC"/>
    <w:rsid w:val="00760318"/>
    <w:rsid w:val="00761496"/>
    <w:rsid w:val="00761F33"/>
    <w:rsid w:val="00772835"/>
    <w:rsid w:val="007769FC"/>
    <w:rsid w:val="00782D79"/>
    <w:rsid w:val="0078534B"/>
    <w:rsid w:val="00786584"/>
    <w:rsid w:val="00787C89"/>
    <w:rsid w:val="00791279"/>
    <w:rsid w:val="007972A2"/>
    <w:rsid w:val="007B3E81"/>
    <w:rsid w:val="007C1CA1"/>
    <w:rsid w:val="007D3038"/>
    <w:rsid w:val="007D42C6"/>
    <w:rsid w:val="007E1501"/>
    <w:rsid w:val="007E33DA"/>
    <w:rsid w:val="007E69B5"/>
    <w:rsid w:val="007F21D0"/>
    <w:rsid w:val="007F3956"/>
    <w:rsid w:val="007F5F38"/>
    <w:rsid w:val="0080172F"/>
    <w:rsid w:val="00811BF1"/>
    <w:rsid w:val="008127AF"/>
    <w:rsid w:val="00814122"/>
    <w:rsid w:val="008149FE"/>
    <w:rsid w:val="00817EF3"/>
    <w:rsid w:val="00823D41"/>
    <w:rsid w:val="0082428A"/>
    <w:rsid w:val="008359DC"/>
    <w:rsid w:val="00851DCB"/>
    <w:rsid w:val="0085384B"/>
    <w:rsid w:val="0085430B"/>
    <w:rsid w:val="00856EDA"/>
    <w:rsid w:val="008576A6"/>
    <w:rsid w:val="00865C80"/>
    <w:rsid w:val="008663E3"/>
    <w:rsid w:val="00880909"/>
    <w:rsid w:val="00881064"/>
    <w:rsid w:val="008820BA"/>
    <w:rsid w:val="00884F2B"/>
    <w:rsid w:val="00885C3D"/>
    <w:rsid w:val="00887B84"/>
    <w:rsid w:val="00890A7C"/>
    <w:rsid w:val="008923B9"/>
    <w:rsid w:val="00894683"/>
    <w:rsid w:val="008A3E24"/>
    <w:rsid w:val="008A53CB"/>
    <w:rsid w:val="008A5A0D"/>
    <w:rsid w:val="008B3037"/>
    <w:rsid w:val="008C3DAE"/>
    <w:rsid w:val="008C4CE9"/>
    <w:rsid w:val="008C5A55"/>
    <w:rsid w:val="008D4415"/>
    <w:rsid w:val="008D444C"/>
    <w:rsid w:val="008D55D4"/>
    <w:rsid w:val="008D5F38"/>
    <w:rsid w:val="008D7278"/>
    <w:rsid w:val="008E2069"/>
    <w:rsid w:val="008E3A92"/>
    <w:rsid w:val="008E3C68"/>
    <w:rsid w:val="008E472A"/>
    <w:rsid w:val="008F38C3"/>
    <w:rsid w:val="008F52DA"/>
    <w:rsid w:val="009220EC"/>
    <w:rsid w:val="009231F3"/>
    <w:rsid w:val="00925C3E"/>
    <w:rsid w:val="00926630"/>
    <w:rsid w:val="00932BA8"/>
    <w:rsid w:val="00933886"/>
    <w:rsid w:val="00934F45"/>
    <w:rsid w:val="009422B0"/>
    <w:rsid w:val="00947C9D"/>
    <w:rsid w:val="00954EEB"/>
    <w:rsid w:val="00956C1E"/>
    <w:rsid w:val="0097341D"/>
    <w:rsid w:val="00987F43"/>
    <w:rsid w:val="00990EB8"/>
    <w:rsid w:val="009913E3"/>
    <w:rsid w:val="009924A0"/>
    <w:rsid w:val="0099342A"/>
    <w:rsid w:val="009961A8"/>
    <w:rsid w:val="00997F04"/>
    <w:rsid w:val="009A1219"/>
    <w:rsid w:val="009A3E23"/>
    <w:rsid w:val="009A662F"/>
    <w:rsid w:val="009B175B"/>
    <w:rsid w:val="009B2BC0"/>
    <w:rsid w:val="009B3957"/>
    <w:rsid w:val="009B4714"/>
    <w:rsid w:val="009B7A40"/>
    <w:rsid w:val="009C1904"/>
    <w:rsid w:val="009C336C"/>
    <w:rsid w:val="009C5818"/>
    <w:rsid w:val="009C687C"/>
    <w:rsid w:val="009D3B8E"/>
    <w:rsid w:val="009D3BAD"/>
    <w:rsid w:val="009E15CC"/>
    <w:rsid w:val="009E1857"/>
    <w:rsid w:val="009E69E2"/>
    <w:rsid w:val="009E7F18"/>
    <w:rsid w:val="009F0535"/>
    <w:rsid w:val="00A00DB1"/>
    <w:rsid w:val="00A05F9C"/>
    <w:rsid w:val="00A076DC"/>
    <w:rsid w:val="00A127C6"/>
    <w:rsid w:val="00A24DB0"/>
    <w:rsid w:val="00A26CB7"/>
    <w:rsid w:val="00A2721F"/>
    <w:rsid w:val="00A27DBB"/>
    <w:rsid w:val="00A31C11"/>
    <w:rsid w:val="00A323E0"/>
    <w:rsid w:val="00A34406"/>
    <w:rsid w:val="00A34915"/>
    <w:rsid w:val="00A3535C"/>
    <w:rsid w:val="00A35603"/>
    <w:rsid w:val="00A37D8F"/>
    <w:rsid w:val="00A4128B"/>
    <w:rsid w:val="00A442E9"/>
    <w:rsid w:val="00A47552"/>
    <w:rsid w:val="00A47E71"/>
    <w:rsid w:val="00A47F32"/>
    <w:rsid w:val="00A51B2D"/>
    <w:rsid w:val="00A52C00"/>
    <w:rsid w:val="00A533D4"/>
    <w:rsid w:val="00A54BBD"/>
    <w:rsid w:val="00A560E8"/>
    <w:rsid w:val="00A65189"/>
    <w:rsid w:val="00A6632E"/>
    <w:rsid w:val="00A7066D"/>
    <w:rsid w:val="00A709C3"/>
    <w:rsid w:val="00A72061"/>
    <w:rsid w:val="00A725A8"/>
    <w:rsid w:val="00A73B39"/>
    <w:rsid w:val="00A80ADA"/>
    <w:rsid w:val="00A845D7"/>
    <w:rsid w:val="00A91F0C"/>
    <w:rsid w:val="00A937EF"/>
    <w:rsid w:val="00A9443D"/>
    <w:rsid w:val="00AA30C9"/>
    <w:rsid w:val="00AA3EF8"/>
    <w:rsid w:val="00AB4283"/>
    <w:rsid w:val="00AC0141"/>
    <w:rsid w:val="00AC4B6C"/>
    <w:rsid w:val="00AC6352"/>
    <w:rsid w:val="00AC644B"/>
    <w:rsid w:val="00AC73C3"/>
    <w:rsid w:val="00AD5789"/>
    <w:rsid w:val="00AD6D50"/>
    <w:rsid w:val="00AE3CE8"/>
    <w:rsid w:val="00AE4ABF"/>
    <w:rsid w:val="00AE6787"/>
    <w:rsid w:val="00AF029B"/>
    <w:rsid w:val="00AF0898"/>
    <w:rsid w:val="00AF0A0D"/>
    <w:rsid w:val="00AF1F99"/>
    <w:rsid w:val="00AF25D0"/>
    <w:rsid w:val="00AF2A89"/>
    <w:rsid w:val="00AF7AB5"/>
    <w:rsid w:val="00B00E19"/>
    <w:rsid w:val="00B058B6"/>
    <w:rsid w:val="00B0591B"/>
    <w:rsid w:val="00B06DF8"/>
    <w:rsid w:val="00B1094E"/>
    <w:rsid w:val="00B14AA0"/>
    <w:rsid w:val="00B259E5"/>
    <w:rsid w:val="00B26628"/>
    <w:rsid w:val="00B3130A"/>
    <w:rsid w:val="00B33BD8"/>
    <w:rsid w:val="00B42F3A"/>
    <w:rsid w:val="00B4351C"/>
    <w:rsid w:val="00B449F5"/>
    <w:rsid w:val="00B44CD9"/>
    <w:rsid w:val="00B46548"/>
    <w:rsid w:val="00B47BB9"/>
    <w:rsid w:val="00B51113"/>
    <w:rsid w:val="00B53DCE"/>
    <w:rsid w:val="00B54D67"/>
    <w:rsid w:val="00B66D73"/>
    <w:rsid w:val="00B67720"/>
    <w:rsid w:val="00B70A77"/>
    <w:rsid w:val="00B7378D"/>
    <w:rsid w:val="00B748DF"/>
    <w:rsid w:val="00B75709"/>
    <w:rsid w:val="00B80C29"/>
    <w:rsid w:val="00B87121"/>
    <w:rsid w:val="00B905D0"/>
    <w:rsid w:val="00B92508"/>
    <w:rsid w:val="00B92EC5"/>
    <w:rsid w:val="00B95015"/>
    <w:rsid w:val="00B9676C"/>
    <w:rsid w:val="00BA08B7"/>
    <w:rsid w:val="00BA3F54"/>
    <w:rsid w:val="00BA57E5"/>
    <w:rsid w:val="00BA694E"/>
    <w:rsid w:val="00BB138B"/>
    <w:rsid w:val="00BC5BDA"/>
    <w:rsid w:val="00BD0780"/>
    <w:rsid w:val="00BD0CD7"/>
    <w:rsid w:val="00BD17AE"/>
    <w:rsid w:val="00BE1E8F"/>
    <w:rsid w:val="00BE6468"/>
    <w:rsid w:val="00BE6CC1"/>
    <w:rsid w:val="00BF587A"/>
    <w:rsid w:val="00BF7592"/>
    <w:rsid w:val="00C02E76"/>
    <w:rsid w:val="00C127CA"/>
    <w:rsid w:val="00C13806"/>
    <w:rsid w:val="00C1798F"/>
    <w:rsid w:val="00C2262B"/>
    <w:rsid w:val="00C23560"/>
    <w:rsid w:val="00C25577"/>
    <w:rsid w:val="00C25B44"/>
    <w:rsid w:val="00C27ED7"/>
    <w:rsid w:val="00C3317D"/>
    <w:rsid w:val="00C33E49"/>
    <w:rsid w:val="00C35591"/>
    <w:rsid w:val="00C35A56"/>
    <w:rsid w:val="00C40546"/>
    <w:rsid w:val="00C41BD5"/>
    <w:rsid w:val="00C41EDB"/>
    <w:rsid w:val="00C42FA7"/>
    <w:rsid w:val="00C469DB"/>
    <w:rsid w:val="00C52B5C"/>
    <w:rsid w:val="00C535B1"/>
    <w:rsid w:val="00C5774B"/>
    <w:rsid w:val="00C60B0C"/>
    <w:rsid w:val="00C6260A"/>
    <w:rsid w:val="00C660AF"/>
    <w:rsid w:val="00C728D0"/>
    <w:rsid w:val="00C72AC6"/>
    <w:rsid w:val="00C730D6"/>
    <w:rsid w:val="00C7415C"/>
    <w:rsid w:val="00C76864"/>
    <w:rsid w:val="00C81DDD"/>
    <w:rsid w:val="00C85D29"/>
    <w:rsid w:val="00C916C8"/>
    <w:rsid w:val="00C94B40"/>
    <w:rsid w:val="00C96B29"/>
    <w:rsid w:val="00C97E60"/>
    <w:rsid w:val="00CA08AD"/>
    <w:rsid w:val="00CA2E85"/>
    <w:rsid w:val="00CA3ADD"/>
    <w:rsid w:val="00CA4007"/>
    <w:rsid w:val="00CA56B8"/>
    <w:rsid w:val="00CA6AE7"/>
    <w:rsid w:val="00CB2043"/>
    <w:rsid w:val="00CB2790"/>
    <w:rsid w:val="00CB505F"/>
    <w:rsid w:val="00CB7939"/>
    <w:rsid w:val="00CC5451"/>
    <w:rsid w:val="00CE3166"/>
    <w:rsid w:val="00CE3F94"/>
    <w:rsid w:val="00CE53AB"/>
    <w:rsid w:val="00CF169A"/>
    <w:rsid w:val="00CF1DFC"/>
    <w:rsid w:val="00CF2C5D"/>
    <w:rsid w:val="00CF78C6"/>
    <w:rsid w:val="00CF7C87"/>
    <w:rsid w:val="00D0429B"/>
    <w:rsid w:val="00D16B4A"/>
    <w:rsid w:val="00D16C72"/>
    <w:rsid w:val="00D17EF7"/>
    <w:rsid w:val="00D22BEC"/>
    <w:rsid w:val="00D245EA"/>
    <w:rsid w:val="00D24AF2"/>
    <w:rsid w:val="00D36D9D"/>
    <w:rsid w:val="00D3775B"/>
    <w:rsid w:val="00D4190F"/>
    <w:rsid w:val="00D44882"/>
    <w:rsid w:val="00D548C8"/>
    <w:rsid w:val="00D54ED4"/>
    <w:rsid w:val="00D554B6"/>
    <w:rsid w:val="00D57C19"/>
    <w:rsid w:val="00D6001B"/>
    <w:rsid w:val="00D633A3"/>
    <w:rsid w:val="00D64E07"/>
    <w:rsid w:val="00D66763"/>
    <w:rsid w:val="00D7108A"/>
    <w:rsid w:val="00D73ECD"/>
    <w:rsid w:val="00D74707"/>
    <w:rsid w:val="00D75FA7"/>
    <w:rsid w:val="00D85ACE"/>
    <w:rsid w:val="00D91BC5"/>
    <w:rsid w:val="00DA291B"/>
    <w:rsid w:val="00DB3586"/>
    <w:rsid w:val="00DB4FC3"/>
    <w:rsid w:val="00DB5C6B"/>
    <w:rsid w:val="00DC11E3"/>
    <w:rsid w:val="00DC5385"/>
    <w:rsid w:val="00DC769B"/>
    <w:rsid w:val="00DC7728"/>
    <w:rsid w:val="00DC7AB7"/>
    <w:rsid w:val="00DD16A8"/>
    <w:rsid w:val="00DD3616"/>
    <w:rsid w:val="00DD5234"/>
    <w:rsid w:val="00DD622B"/>
    <w:rsid w:val="00DD6CB9"/>
    <w:rsid w:val="00DE1BD0"/>
    <w:rsid w:val="00DE27F8"/>
    <w:rsid w:val="00DE55A6"/>
    <w:rsid w:val="00DE693B"/>
    <w:rsid w:val="00DE6A01"/>
    <w:rsid w:val="00DF1E55"/>
    <w:rsid w:val="00E010D9"/>
    <w:rsid w:val="00E1371C"/>
    <w:rsid w:val="00E14905"/>
    <w:rsid w:val="00E17087"/>
    <w:rsid w:val="00E307F8"/>
    <w:rsid w:val="00E30E83"/>
    <w:rsid w:val="00E314FC"/>
    <w:rsid w:val="00E409B4"/>
    <w:rsid w:val="00E420A0"/>
    <w:rsid w:val="00E42B0B"/>
    <w:rsid w:val="00E47083"/>
    <w:rsid w:val="00E47926"/>
    <w:rsid w:val="00E529EF"/>
    <w:rsid w:val="00E52C47"/>
    <w:rsid w:val="00E53919"/>
    <w:rsid w:val="00E53DCA"/>
    <w:rsid w:val="00E574EC"/>
    <w:rsid w:val="00E6399A"/>
    <w:rsid w:val="00E72F4B"/>
    <w:rsid w:val="00E8185E"/>
    <w:rsid w:val="00E84BC7"/>
    <w:rsid w:val="00E85209"/>
    <w:rsid w:val="00E8785C"/>
    <w:rsid w:val="00E87AF4"/>
    <w:rsid w:val="00E9224C"/>
    <w:rsid w:val="00E95B1A"/>
    <w:rsid w:val="00E97907"/>
    <w:rsid w:val="00EA3AC4"/>
    <w:rsid w:val="00EA4131"/>
    <w:rsid w:val="00EA47FF"/>
    <w:rsid w:val="00EB54F3"/>
    <w:rsid w:val="00EB6DB9"/>
    <w:rsid w:val="00EB7F68"/>
    <w:rsid w:val="00EC036E"/>
    <w:rsid w:val="00EC0828"/>
    <w:rsid w:val="00EC38AE"/>
    <w:rsid w:val="00EC641A"/>
    <w:rsid w:val="00EC6B07"/>
    <w:rsid w:val="00ED0AC3"/>
    <w:rsid w:val="00ED22BC"/>
    <w:rsid w:val="00ED41DD"/>
    <w:rsid w:val="00ED76BF"/>
    <w:rsid w:val="00EE0D2D"/>
    <w:rsid w:val="00EE3ADF"/>
    <w:rsid w:val="00EE5396"/>
    <w:rsid w:val="00EE6176"/>
    <w:rsid w:val="00EF0A83"/>
    <w:rsid w:val="00EF1D07"/>
    <w:rsid w:val="00EF324D"/>
    <w:rsid w:val="00EF52E1"/>
    <w:rsid w:val="00EF5D3D"/>
    <w:rsid w:val="00EF6363"/>
    <w:rsid w:val="00F047A9"/>
    <w:rsid w:val="00F063F4"/>
    <w:rsid w:val="00F07C3A"/>
    <w:rsid w:val="00F15BB7"/>
    <w:rsid w:val="00F15C25"/>
    <w:rsid w:val="00F16636"/>
    <w:rsid w:val="00F17A0F"/>
    <w:rsid w:val="00F201A8"/>
    <w:rsid w:val="00F218A9"/>
    <w:rsid w:val="00F30E99"/>
    <w:rsid w:val="00F34B89"/>
    <w:rsid w:val="00F36127"/>
    <w:rsid w:val="00F37C02"/>
    <w:rsid w:val="00F43952"/>
    <w:rsid w:val="00F449CA"/>
    <w:rsid w:val="00F45551"/>
    <w:rsid w:val="00F45ABA"/>
    <w:rsid w:val="00F45F44"/>
    <w:rsid w:val="00F46B15"/>
    <w:rsid w:val="00F46DCE"/>
    <w:rsid w:val="00F50C1A"/>
    <w:rsid w:val="00F51170"/>
    <w:rsid w:val="00F56078"/>
    <w:rsid w:val="00F636CC"/>
    <w:rsid w:val="00F65129"/>
    <w:rsid w:val="00F66624"/>
    <w:rsid w:val="00F66BB6"/>
    <w:rsid w:val="00F66C18"/>
    <w:rsid w:val="00F67860"/>
    <w:rsid w:val="00F7164D"/>
    <w:rsid w:val="00F74AD4"/>
    <w:rsid w:val="00F760E7"/>
    <w:rsid w:val="00F7759E"/>
    <w:rsid w:val="00F822A7"/>
    <w:rsid w:val="00F8231B"/>
    <w:rsid w:val="00F8394C"/>
    <w:rsid w:val="00F83B83"/>
    <w:rsid w:val="00F860AD"/>
    <w:rsid w:val="00F86D03"/>
    <w:rsid w:val="00F90E2E"/>
    <w:rsid w:val="00FA05C8"/>
    <w:rsid w:val="00FA0EBC"/>
    <w:rsid w:val="00FA1112"/>
    <w:rsid w:val="00FA1A39"/>
    <w:rsid w:val="00FA1C73"/>
    <w:rsid w:val="00FA2FE9"/>
    <w:rsid w:val="00FB2A58"/>
    <w:rsid w:val="00FB32DA"/>
    <w:rsid w:val="00FC1DE0"/>
    <w:rsid w:val="00FC48EB"/>
    <w:rsid w:val="00FD0EAB"/>
    <w:rsid w:val="00FE2A36"/>
    <w:rsid w:val="00FE47BC"/>
    <w:rsid w:val="00FF329F"/>
    <w:rsid w:val="00FF5AA0"/>
    <w:rsid w:val="00FF5A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6727"/>
  <w15:docId w15:val="{A873F7E0-89E4-4626-BDB9-F1F5FAE3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2A"/>
    <w:pPr>
      <w:spacing w:after="0"/>
      <w:jc w:val="left"/>
    </w:pPr>
    <w:rPr>
      <w:rFonts w:eastAsia="Times New Roman"/>
      <w:szCs w:val="20"/>
      <w:lang w:eastAsia="lt-LT"/>
    </w:rPr>
  </w:style>
  <w:style w:type="paragraph" w:styleId="Heading4">
    <w:name w:val="heading 4"/>
    <w:basedOn w:val="Normal"/>
    <w:next w:val="Normal"/>
    <w:link w:val="Heading4Char"/>
    <w:uiPriority w:val="9"/>
    <w:semiHidden/>
    <w:unhideWhenUsed/>
    <w:qFormat/>
    <w:rsid w:val="00F86D0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l"/>
    <w:basedOn w:val="Normal"/>
    <w:link w:val="ListParagraphChar"/>
    <w:qFormat/>
    <w:rsid w:val="0036662A"/>
    <w:pPr>
      <w:ind w:left="720"/>
      <w:contextualSpacing/>
    </w:pPr>
  </w:style>
  <w:style w:type="table" w:styleId="TableGrid">
    <w:name w:val="Table Grid"/>
    <w:basedOn w:val="TableNormal"/>
    <w:uiPriority w:val="59"/>
    <w:rsid w:val="003666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662A"/>
    <w:rPr>
      <w:rFonts w:ascii="Tahoma" w:hAnsi="Tahoma" w:cs="Tahoma"/>
      <w:sz w:val="16"/>
      <w:szCs w:val="16"/>
    </w:rPr>
  </w:style>
  <w:style w:type="character" w:customStyle="1" w:styleId="BalloonTextChar">
    <w:name w:val="Balloon Text Char"/>
    <w:basedOn w:val="DefaultParagraphFont"/>
    <w:link w:val="BalloonText"/>
    <w:uiPriority w:val="99"/>
    <w:semiHidden/>
    <w:rsid w:val="0036662A"/>
    <w:rPr>
      <w:rFonts w:ascii="Tahoma" w:eastAsia="Times New Roman" w:hAnsi="Tahoma" w:cs="Tahoma"/>
      <w:sz w:val="16"/>
      <w:szCs w:val="16"/>
      <w:lang w:eastAsia="lt-LT"/>
    </w:rPr>
  </w:style>
  <w:style w:type="character" w:styleId="Hyperlink">
    <w:name w:val="Hyperlink"/>
    <w:basedOn w:val="DefaultParagraphFont"/>
    <w:uiPriority w:val="99"/>
    <w:unhideWhenUsed/>
    <w:rsid w:val="00E010D9"/>
    <w:rPr>
      <w:color w:val="0000FF" w:themeColor="hyperlink"/>
      <w:u w:val="single"/>
    </w:rPr>
  </w:style>
  <w:style w:type="character" w:styleId="UnresolvedMention">
    <w:name w:val="Unresolved Mention"/>
    <w:basedOn w:val="DefaultParagraphFont"/>
    <w:uiPriority w:val="99"/>
    <w:semiHidden/>
    <w:unhideWhenUsed/>
    <w:rsid w:val="00E010D9"/>
    <w:rPr>
      <w:color w:val="605E5C"/>
      <w:shd w:val="clear" w:color="auto" w:fill="E1DFDD"/>
    </w:rPr>
  </w:style>
  <w:style w:type="character" w:styleId="CommentReference">
    <w:name w:val="annotation reference"/>
    <w:basedOn w:val="DefaultParagraphFont"/>
    <w:uiPriority w:val="99"/>
    <w:semiHidden/>
    <w:unhideWhenUsed/>
    <w:rsid w:val="00C02E76"/>
    <w:rPr>
      <w:sz w:val="16"/>
      <w:szCs w:val="16"/>
    </w:rPr>
  </w:style>
  <w:style w:type="paragraph" w:styleId="CommentText">
    <w:name w:val="annotation text"/>
    <w:basedOn w:val="Normal"/>
    <w:link w:val="CommentTextChar"/>
    <w:uiPriority w:val="99"/>
    <w:unhideWhenUsed/>
    <w:rsid w:val="00C02E76"/>
    <w:rPr>
      <w:sz w:val="20"/>
    </w:rPr>
  </w:style>
  <w:style w:type="character" w:customStyle="1" w:styleId="CommentTextChar">
    <w:name w:val="Comment Text Char"/>
    <w:basedOn w:val="DefaultParagraphFont"/>
    <w:link w:val="CommentText"/>
    <w:uiPriority w:val="99"/>
    <w:rsid w:val="00C02E76"/>
    <w:rPr>
      <w:rFonts w:eastAsia="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02E76"/>
    <w:rPr>
      <w:b/>
      <w:bCs/>
    </w:rPr>
  </w:style>
  <w:style w:type="character" w:customStyle="1" w:styleId="CommentSubjectChar">
    <w:name w:val="Comment Subject Char"/>
    <w:basedOn w:val="CommentTextChar"/>
    <w:link w:val="CommentSubject"/>
    <w:uiPriority w:val="99"/>
    <w:semiHidden/>
    <w:rsid w:val="00C02E76"/>
    <w:rPr>
      <w:rFonts w:eastAsia="Times New Roman"/>
      <w:b/>
      <w:bCs/>
      <w:sz w:val="20"/>
      <w:szCs w:val="20"/>
      <w:lang w:eastAsia="lt-LT"/>
    </w:rPr>
  </w:style>
  <w:style w:type="paragraph" w:styleId="Revision">
    <w:name w:val="Revision"/>
    <w:hidden/>
    <w:uiPriority w:val="99"/>
    <w:semiHidden/>
    <w:rsid w:val="00DC11E3"/>
    <w:pPr>
      <w:spacing w:after="0"/>
      <w:jc w:val="left"/>
    </w:pPr>
    <w:rPr>
      <w:rFonts w:eastAsia="Times New Roman"/>
      <w:szCs w:val="20"/>
      <w:lang w:eastAsia="lt-LT"/>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l Char"/>
    <w:basedOn w:val="DefaultParagraphFont"/>
    <w:link w:val="ListParagraph"/>
    <w:uiPriority w:val="34"/>
    <w:qFormat/>
    <w:locked/>
    <w:rsid w:val="00C1798F"/>
    <w:rPr>
      <w:rFonts w:eastAsia="Times New Roman"/>
      <w:szCs w:val="20"/>
      <w:lang w:eastAsia="lt-LT"/>
    </w:rPr>
  </w:style>
  <w:style w:type="paragraph" w:styleId="Header">
    <w:name w:val="header"/>
    <w:basedOn w:val="Normal"/>
    <w:link w:val="HeaderChar"/>
    <w:uiPriority w:val="99"/>
    <w:unhideWhenUsed/>
    <w:rsid w:val="003940F3"/>
    <w:pPr>
      <w:tabs>
        <w:tab w:val="center" w:pos="4819"/>
        <w:tab w:val="right" w:pos="9638"/>
      </w:tabs>
    </w:pPr>
  </w:style>
  <w:style w:type="character" w:customStyle="1" w:styleId="HeaderChar">
    <w:name w:val="Header Char"/>
    <w:basedOn w:val="DefaultParagraphFont"/>
    <w:link w:val="Header"/>
    <w:uiPriority w:val="99"/>
    <w:rsid w:val="003940F3"/>
    <w:rPr>
      <w:rFonts w:eastAsia="Times New Roman"/>
      <w:szCs w:val="20"/>
      <w:lang w:eastAsia="lt-LT"/>
    </w:rPr>
  </w:style>
  <w:style w:type="paragraph" w:styleId="Footer">
    <w:name w:val="footer"/>
    <w:basedOn w:val="Normal"/>
    <w:link w:val="FooterChar"/>
    <w:uiPriority w:val="99"/>
    <w:unhideWhenUsed/>
    <w:rsid w:val="003940F3"/>
    <w:pPr>
      <w:tabs>
        <w:tab w:val="center" w:pos="4819"/>
        <w:tab w:val="right" w:pos="9638"/>
      </w:tabs>
    </w:pPr>
  </w:style>
  <w:style w:type="character" w:customStyle="1" w:styleId="FooterChar">
    <w:name w:val="Footer Char"/>
    <w:basedOn w:val="DefaultParagraphFont"/>
    <w:link w:val="Footer"/>
    <w:uiPriority w:val="99"/>
    <w:rsid w:val="003940F3"/>
    <w:rPr>
      <w:rFonts w:eastAsia="Times New Roman"/>
      <w:szCs w:val="20"/>
      <w:lang w:eastAsia="lt-LT"/>
    </w:rPr>
  </w:style>
  <w:style w:type="paragraph" w:customStyle="1" w:styleId="DiagramaDiagrama">
    <w:name w:val="Diagrama Diagrama"/>
    <w:basedOn w:val="Normal"/>
    <w:rsid w:val="009C336C"/>
    <w:pPr>
      <w:spacing w:after="160" w:line="240" w:lineRule="exact"/>
    </w:pPr>
    <w:rPr>
      <w:rFonts w:ascii="Tahoma" w:hAnsi="Tahoma"/>
      <w:sz w:val="20"/>
      <w:lang w:val="en-US" w:eastAsia="en-US"/>
    </w:rPr>
  </w:style>
  <w:style w:type="paragraph" w:styleId="NoSpacing">
    <w:name w:val="No Spacing"/>
    <w:uiPriority w:val="1"/>
    <w:qFormat/>
    <w:rsid w:val="009C336C"/>
    <w:pPr>
      <w:spacing w:after="0"/>
      <w:jc w:val="left"/>
    </w:pPr>
    <w:rPr>
      <w:rFonts w:ascii="Calibri" w:eastAsia="Calibri" w:hAnsi="Calibri"/>
      <w:sz w:val="22"/>
    </w:rPr>
  </w:style>
  <w:style w:type="paragraph" w:styleId="FootnoteText">
    <w:name w:val="footnote text"/>
    <w:basedOn w:val="Normal"/>
    <w:link w:val="FootnoteTextChar"/>
    <w:uiPriority w:val="99"/>
    <w:semiHidden/>
    <w:unhideWhenUsed/>
    <w:rsid w:val="00BA08B7"/>
    <w:rPr>
      <w:sz w:val="20"/>
    </w:rPr>
  </w:style>
  <w:style w:type="character" w:customStyle="1" w:styleId="FootnoteTextChar">
    <w:name w:val="Footnote Text Char"/>
    <w:basedOn w:val="DefaultParagraphFont"/>
    <w:link w:val="FootnoteText"/>
    <w:uiPriority w:val="99"/>
    <w:semiHidden/>
    <w:rsid w:val="00BA08B7"/>
    <w:rPr>
      <w:rFonts w:eastAsia="Times New Roman"/>
      <w:sz w:val="20"/>
      <w:szCs w:val="20"/>
      <w:lang w:eastAsia="lt-LT"/>
    </w:rPr>
  </w:style>
  <w:style w:type="character" w:styleId="FootnoteReference">
    <w:name w:val="footnote reference"/>
    <w:basedOn w:val="DefaultParagraphFont"/>
    <w:uiPriority w:val="99"/>
    <w:semiHidden/>
    <w:unhideWhenUsed/>
    <w:rsid w:val="00BA08B7"/>
    <w:rPr>
      <w:vertAlign w:val="superscript"/>
    </w:rPr>
  </w:style>
  <w:style w:type="paragraph" w:customStyle="1" w:styleId="gmail-msolistparagraph">
    <w:name w:val="gmail-msolistparagraph"/>
    <w:basedOn w:val="Normal"/>
    <w:rsid w:val="00256152"/>
    <w:pPr>
      <w:spacing w:before="100" w:beforeAutospacing="1" w:after="100" w:afterAutospacing="1"/>
    </w:pPr>
    <w:rPr>
      <w:rFonts w:ascii="Aptos" w:eastAsiaTheme="minorHAnsi" w:hAnsi="Aptos" w:cs="Aptos"/>
      <w:szCs w:val="24"/>
    </w:rPr>
  </w:style>
  <w:style w:type="character" w:styleId="Strong">
    <w:name w:val="Strong"/>
    <w:basedOn w:val="DefaultParagraphFont"/>
    <w:uiPriority w:val="22"/>
    <w:qFormat/>
    <w:rsid w:val="00EE3ADF"/>
    <w:rPr>
      <w:b/>
      <w:bCs/>
    </w:rPr>
  </w:style>
  <w:style w:type="character" w:customStyle="1" w:styleId="Heading4Char">
    <w:name w:val="Heading 4 Char"/>
    <w:basedOn w:val="DefaultParagraphFont"/>
    <w:link w:val="Heading4"/>
    <w:uiPriority w:val="9"/>
    <w:semiHidden/>
    <w:rsid w:val="00F86D03"/>
    <w:rPr>
      <w:rFonts w:asciiTheme="majorHAnsi" w:eastAsiaTheme="majorEastAsia" w:hAnsiTheme="majorHAnsi" w:cstheme="majorBidi"/>
      <w:i/>
      <w:iCs/>
      <w:color w:val="365F91" w:themeColor="accent1" w:themeShade="BF"/>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8094">
      <w:bodyDiv w:val="1"/>
      <w:marLeft w:val="0"/>
      <w:marRight w:val="0"/>
      <w:marTop w:val="0"/>
      <w:marBottom w:val="0"/>
      <w:divBdr>
        <w:top w:val="none" w:sz="0" w:space="0" w:color="auto"/>
        <w:left w:val="none" w:sz="0" w:space="0" w:color="auto"/>
        <w:bottom w:val="none" w:sz="0" w:space="0" w:color="auto"/>
        <w:right w:val="none" w:sz="0" w:space="0" w:color="auto"/>
      </w:divBdr>
    </w:div>
    <w:div w:id="67845555">
      <w:bodyDiv w:val="1"/>
      <w:marLeft w:val="0"/>
      <w:marRight w:val="0"/>
      <w:marTop w:val="0"/>
      <w:marBottom w:val="0"/>
      <w:divBdr>
        <w:top w:val="none" w:sz="0" w:space="0" w:color="auto"/>
        <w:left w:val="none" w:sz="0" w:space="0" w:color="auto"/>
        <w:bottom w:val="none" w:sz="0" w:space="0" w:color="auto"/>
        <w:right w:val="none" w:sz="0" w:space="0" w:color="auto"/>
      </w:divBdr>
    </w:div>
    <w:div w:id="84036250">
      <w:bodyDiv w:val="1"/>
      <w:marLeft w:val="0"/>
      <w:marRight w:val="0"/>
      <w:marTop w:val="0"/>
      <w:marBottom w:val="0"/>
      <w:divBdr>
        <w:top w:val="none" w:sz="0" w:space="0" w:color="auto"/>
        <w:left w:val="none" w:sz="0" w:space="0" w:color="auto"/>
        <w:bottom w:val="none" w:sz="0" w:space="0" w:color="auto"/>
        <w:right w:val="none" w:sz="0" w:space="0" w:color="auto"/>
      </w:divBdr>
    </w:div>
    <w:div w:id="165482875">
      <w:bodyDiv w:val="1"/>
      <w:marLeft w:val="0"/>
      <w:marRight w:val="0"/>
      <w:marTop w:val="0"/>
      <w:marBottom w:val="0"/>
      <w:divBdr>
        <w:top w:val="none" w:sz="0" w:space="0" w:color="auto"/>
        <w:left w:val="none" w:sz="0" w:space="0" w:color="auto"/>
        <w:bottom w:val="none" w:sz="0" w:space="0" w:color="auto"/>
        <w:right w:val="none" w:sz="0" w:space="0" w:color="auto"/>
      </w:divBdr>
    </w:div>
    <w:div w:id="172843787">
      <w:bodyDiv w:val="1"/>
      <w:marLeft w:val="0"/>
      <w:marRight w:val="0"/>
      <w:marTop w:val="0"/>
      <w:marBottom w:val="0"/>
      <w:divBdr>
        <w:top w:val="none" w:sz="0" w:space="0" w:color="auto"/>
        <w:left w:val="none" w:sz="0" w:space="0" w:color="auto"/>
        <w:bottom w:val="none" w:sz="0" w:space="0" w:color="auto"/>
        <w:right w:val="none" w:sz="0" w:space="0" w:color="auto"/>
      </w:divBdr>
    </w:div>
    <w:div w:id="188180771">
      <w:bodyDiv w:val="1"/>
      <w:marLeft w:val="0"/>
      <w:marRight w:val="0"/>
      <w:marTop w:val="0"/>
      <w:marBottom w:val="0"/>
      <w:divBdr>
        <w:top w:val="none" w:sz="0" w:space="0" w:color="auto"/>
        <w:left w:val="none" w:sz="0" w:space="0" w:color="auto"/>
        <w:bottom w:val="none" w:sz="0" w:space="0" w:color="auto"/>
        <w:right w:val="none" w:sz="0" w:space="0" w:color="auto"/>
      </w:divBdr>
    </w:div>
    <w:div w:id="220945418">
      <w:bodyDiv w:val="1"/>
      <w:marLeft w:val="0"/>
      <w:marRight w:val="0"/>
      <w:marTop w:val="0"/>
      <w:marBottom w:val="0"/>
      <w:divBdr>
        <w:top w:val="none" w:sz="0" w:space="0" w:color="auto"/>
        <w:left w:val="none" w:sz="0" w:space="0" w:color="auto"/>
        <w:bottom w:val="none" w:sz="0" w:space="0" w:color="auto"/>
        <w:right w:val="none" w:sz="0" w:space="0" w:color="auto"/>
      </w:divBdr>
    </w:div>
    <w:div w:id="303892564">
      <w:bodyDiv w:val="1"/>
      <w:marLeft w:val="0"/>
      <w:marRight w:val="0"/>
      <w:marTop w:val="0"/>
      <w:marBottom w:val="0"/>
      <w:divBdr>
        <w:top w:val="none" w:sz="0" w:space="0" w:color="auto"/>
        <w:left w:val="none" w:sz="0" w:space="0" w:color="auto"/>
        <w:bottom w:val="none" w:sz="0" w:space="0" w:color="auto"/>
        <w:right w:val="none" w:sz="0" w:space="0" w:color="auto"/>
      </w:divBdr>
    </w:div>
    <w:div w:id="306320480">
      <w:bodyDiv w:val="1"/>
      <w:marLeft w:val="0"/>
      <w:marRight w:val="0"/>
      <w:marTop w:val="0"/>
      <w:marBottom w:val="0"/>
      <w:divBdr>
        <w:top w:val="none" w:sz="0" w:space="0" w:color="auto"/>
        <w:left w:val="none" w:sz="0" w:space="0" w:color="auto"/>
        <w:bottom w:val="none" w:sz="0" w:space="0" w:color="auto"/>
        <w:right w:val="none" w:sz="0" w:space="0" w:color="auto"/>
      </w:divBdr>
    </w:div>
    <w:div w:id="408961857">
      <w:bodyDiv w:val="1"/>
      <w:marLeft w:val="0"/>
      <w:marRight w:val="0"/>
      <w:marTop w:val="0"/>
      <w:marBottom w:val="0"/>
      <w:divBdr>
        <w:top w:val="none" w:sz="0" w:space="0" w:color="auto"/>
        <w:left w:val="none" w:sz="0" w:space="0" w:color="auto"/>
        <w:bottom w:val="none" w:sz="0" w:space="0" w:color="auto"/>
        <w:right w:val="none" w:sz="0" w:space="0" w:color="auto"/>
      </w:divBdr>
    </w:div>
    <w:div w:id="484322232">
      <w:bodyDiv w:val="1"/>
      <w:marLeft w:val="0"/>
      <w:marRight w:val="0"/>
      <w:marTop w:val="0"/>
      <w:marBottom w:val="0"/>
      <w:divBdr>
        <w:top w:val="none" w:sz="0" w:space="0" w:color="auto"/>
        <w:left w:val="none" w:sz="0" w:space="0" w:color="auto"/>
        <w:bottom w:val="none" w:sz="0" w:space="0" w:color="auto"/>
        <w:right w:val="none" w:sz="0" w:space="0" w:color="auto"/>
      </w:divBdr>
    </w:div>
    <w:div w:id="625815203">
      <w:bodyDiv w:val="1"/>
      <w:marLeft w:val="0"/>
      <w:marRight w:val="0"/>
      <w:marTop w:val="0"/>
      <w:marBottom w:val="0"/>
      <w:divBdr>
        <w:top w:val="none" w:sz="0" w:space="0" w:color="auto"/>
        <w:left w:val="none" w:sz="0" w:space="0" w:color="auto"/>
        <w:bottom w:val="none" w:sz="0" w:space="0" w:color="auto"/>
        <w:right w:val="none" w:sz="0" w:space="0" w:color="auto"/>
      </w:divBdr>
    </w:div>
    <w:div w:id="629749318">
      <w:bodyDiv w:val="1"/>
      <w:marLeft w:val="0"/>
      <w:marRight w:val="0"/>
      <w:marTop w:val="0"/>
      <w:marBottom w:val="0"/>
      <w:divBdr>
        <w:top w:val="none" w:sz="0" w:space="0" w:color="auto"/>
        <w:left w:val="none" w:sz="0" w:space="0" w:color="auto"/>
        <w:bottom w:val="none" w:sz="0" w:space="0" w:color="auto"/>
        <w:right w:val="none" w:sz="0" w:space="0" w:color="auto"/>
      </w:divBdr>
    </w:div>
    <w:div w:id="857279575">
      <w:bodyDiv w:val="1"/>
      <w:marLeft w:val="0"/>
      <w:marRight w:val="0"/>
      <w:marTop w:val="0"/>
      <w:marBottom w:val="0"/>
      <w:divBdr>
        <w:top w:val="none" w:sz="0" w:space="0" w:color="auto"/>
        <w:left w:val="none" w:sz="0" w:space="0" w:color="auto"/>
        <w:bottom w:val="none" w:sz="0" w:space="0" w:color="auto"/>
        <w:right w:val="none" w:sz="0" w:space="0" w:color="auto"/>
      </w:divBdr>
    </w:div>
    <w:div w:id="862017866">
      <w:bodyDiv w:val="1"/>
      <w:marLeft w:val="0"/>
      <w:marRight w:val="0"/>
      <w:marTop w:val="0"/>
      <w:marBottom w:val="0"/>
      <w:divBdr>
        <w:top w:val="none" w:sz="0" w:space="0" w:color="auto"/>
        <w:left w:val="none" w:sz="0" w:space="0" w:color="auto"/>
        <w:bottom w:val="none" w:sz="0" w:space="0" w:color="auto"/>
        <w:right w:val="none" w:sz="0" w:space="0" w:color="auto"/>
      </w:divBdr>
    </w:div>
    <w:div w:id="894924546">
      <w:bodyDiv w:val="1"/>
      <w:marLeft w:val="0"/>
      <w:marRight w:val="0"/>
      <w:marTop w:val="0"/>
      <w:marBottom w:val="0"/>
      <w:divBdr>
        <w:top w:val="none" w:sz="0" w:space="0" w:color="auto"/>
        <w:left w:val="none" w:sz="0" w:space="0" w:color="auto"/>
        <w:bottom w:val="none" w:sz="0" w:space="0" w:color="auto"/>
        <w:right w:val="none" w:sz="0" w:space="0" w:color="auto"/>
      </w:divBdr>
    </w:div>
    <w:div w:id="950167886">
      <w:bodyDiv w:val="1"/>
      <w:marLeft w:val="0"/>
      <w:marRight w:val="0"/>
      <w:marTop w:val="0"/>
      <w:marBottom w:val="0"/>
      <w:divBdr>
        <w:top w:val="none" w:sz="0" w:space="0" w:color="auto"/>
        <w:left w:val="none" w:sz="0" w:space="0" w:color="auto"/>
        <w:bottom w:val="none" w:sz="0" w:space="0" w:color="auto"/>
        <w:right w:val="none" w:sz="0" w:space="0" w:color="auto"/>
      </w:divBdr>
    </w:div>
    <w:div w:id="1113400567">
      <w:bodyDiv w:val="1"/>
      <w:marLeft w:val="0"/>
      <w:marRight w:val="0"/>
      <w:marTop w:val="0"/>
      <w:marBottom w:val="0"/>
      <w:divBdr>
        <w:top w:val="none" w:sz="0" w:space="0" w:color="auto"/>
        <w:left w:val="none" w:sz="0" w:space="0" w:color="auto"/>
        <w:bottom w:val="none" w:sz="0" w:space="0" w:color="auto"/>
        <w:right w:val="none" w:sz="0" w:space="0" w:color="auto"/>
      </w:divBdr>
    </w:div>
    <w:div w:id="1161431738">
      <w:bodyDiv w:val="1"/>
      <w:marLeft w:val="0"/>
      <w:marRight w:val="0"/>
      <w:marTop w:val="0"/>
      <w:marBottom w:val="0"/>
      <w:divBdr>
        <w:top w:val="none" w:sz="0" w:space="0" w:color="auto"/>
        <w:left w:val="none" w:sz="0" w:space="0" w:color="auto"/>
        <w:bottom w:val="none" w:sz="0" w:space="0" w:color="auto"/>
        <w:right w:val="none" w:sz="0" w:space="0" w:color="auto"/>
      </w:divBdr>
    </w:div>
    <w:div w:id="1181312767">
      <w:bodyDiv w:val="1"/>
      <w:marLeft w:val="0"/>
      <w:marRight w:val="0"/>
      <w:marTop w:val="0"/>
      <w:marBottom w:val="0"/>
      <w:divBdr>
        <w:top w:val="none" w:sz="0" w:space="0" w:color="auto"/>
        <w:left w:val="none" w:sz="0" w:space="0" w:color="auto"/>
        <w:bottom w:val="none" w:sz="0" w:space="0" w:color="auto"/>
        <w:right w:val="none" w:sz="0" w:space="0" w:color="auto"/>
      </w:divBdr>
    </w:div>
    <w:div w:id="1181702228">
      <w:bodyDiv w:val="1"/>
      <w:marLeft w:val="0"/>
      <w:marRight w:val="0"/>
      <w:marTop w:val="0"/>
      <w:marBottom w:val="0"/>
      <w:divBdr>
        <w:top w:val="none" w:sz="0" w:space="0" w:color="auto"/>
        <w:left w:val="none" w:sz="0" w:space="0" w:color="auto"/>
        <w:bottom w:val="none" w:sz="0" w:space="0" w:color="auto"/>
        <w:right w:val="none" w:sz="0" w:space="0" w:color="auto"/>
      </w:divBdr>
    </w:div>
    <w:div w:id="1282883311">
      <w:bodyDiv w:val="1"/>
      <w:marLeft w:val="0"/>
      <w:marRight w:val="0"/>
      <w:marTop w:val="0"/>
      <w:marBottom w:val="0"/>
      <w:divBdr>
        <w:top w:val="none" w:sz="0" w:space="0" w:color="auto"/>
        <w:left w:val="none" w:sz="0" w:space="0" w:color="auto"/>
        <w:bottom w:val="none" w:sz="0" w:space="0" w:color="auto"/>
        <w:right w:val="none" w:sz="0" w:space="0" w:color="auto"/>
      </w:divBdr>
    </w:div>
    <w:div w:id="1332484877">
      <w:bodyDiv w:val="1"/>
      <w:marLeft w:val="0"/>
      <w:marRight w:val="0"/>
      <w:marTop w:val="0"/>
      <w:marBottom w:val="0"/>
      <w:divBdr>
        <w:top w:val="none" w:sz="0" w:space="0" w:color="auto"/>
        <w:left w:val="none" w:sz="0" w:space="0" w:color="auto"/>
        <w:bottom w:val="none" w:sz="0" w:space="0" w:color="auto"/>
        <w:right w:val="none" w:sz="0" w:space="0" w:color="auto"/>
      </w:divBdr>
    </w:div>
    <w:div w:id="1369380209">
      <w:bodyDiv w:val="1"/>
      <w:marLeft w:val="0"/>
      <w:marRight w:val="0"/>
      <w:marTop w:val="0"/>
      <w:marBottom w:val="0"/>
      <w:divBdr>
        <w:top w:val="none" w:sz="0" w:space="0" w:color="auto"/>
        <w:left w:val="none" w:sz="0" w:space="0" w:color="auto"/>
        <w:bottom w:val="none" w:sz="0" w:space="0" w:color="auto"/>
        <w:right w:val="none" w:sz="0" w:space="0" w:color="auto"/>
      </w:divBdr>
    </w:div>
    <w:div w:id="1449858653">
      <w:bodyDiv w:val="1"/>
      <w:marLeft w:val="0"/>
      <w:marRight w:val="0"/>
      <w:marTop w:val="0"/>
      <w:marBottom w:val="0"/>
      <w:divBdr>
        <w:top w:val="none" w:sz="0" w:space="0" w:color="auto"/>
        <w:left w:val="none" w:sz="0" w:space="0" w:color="auto"/>
        <w:bottom w:val="none" w:sz="0" w:space="0" w:color="auto"/>
        <w:right w:val="none" w:sz="0" w:space="0" w:color="auto"/>
      </w:divBdr>
    </w:div>
    <w:div w:id="1491410453">
      <w:bodyDiv w:val="1"/>
      <w:marLeft w:val="0"/>
      <w:marRight w:val="0"/>
      <w:marTop w:val="0"/>
      <w:marBottom w:val="0"/>
      <w:divBdr>
        <w:top w:val="none" w:sz="0" w:space="0" w:color="auto"/>
        <w:left w:val="none" w:sz="0" w:space="0" w:color="auto"/>
        <w:bottom w:val="none" w:sz="0" w:space="0" w:color="auto"/>
        <w:right w:val="none" w:sz="0" w:space="0" w:color="auto"/>
      </w:divBdr>
    </w:div>
    <w:div w:id="1516652388">
      <w:bodyDiv w:val="1"/>
      <w:marLeft w:val="0"/>
      <w:marRight w:val="0"/>
      <w:marTop w:val="0"/>
      <w:marBottom w:val="0"/>
      <w:divBdr>
        <w:top w:val="none" w:sz="0" w:space="0" w:color="auto"/>
        <w:left w:val="none" w:sz="0" w:space="0" w:color="auto"/>
        <w:bottom w:val="none" w:sz="0" w:space="0" w:color="auto"/>
        <w:right w:val="none" w:sz="0" w:space="0" w:color="auto"/>
      </w:divBdr>
    </w:div>
    <w:div w:id="1737976010">
      <w:bodyDiv w:val="1"/>
      <w:marLeft w:val="0"/>
      <w:marRight w:val="0"/>
      <w:marTop w:val="0"/>
      <w:marBottom w:val="0"/>
      <w:divBdr>
        <w:top w:val="none" w:sz="0" w:space="0" w:color="auto"/>
        <w:left w:val="none" w:sz="0" w:space="0" w:color="auto"/>
        <w:bottom w:val="none" w:sz="0" w:space="0" w:color="auto"/>
        <w:right w:val="none" w:sz="0" w:space="0" w:color="auto"/>
      </w:divBdr>
    </w:div>
    <w:div w:id="1791823470">
      <w:bodyDiv w:val="1"/>
      <w:marLeft w:val="0"/>
      <w:marRight w:val="0"/>
      <w:marTop w:val="0"/>
      <w:marBottom w:val="0"/>
      <w:divBdr>
        <w:top w:val="none" w:sz="0" w:space="0" w:color="auto"/>
        <w:left w:val="none" w:sz="0" w:space="0" w:color="auto"/>
        <w:bottom w:val="none" w:sz="0" w:space="0" w:color="auto"/>
        <w:right w:val="none" w:sz="0" w:space="0" w:color="auto"/>
      </w:divBdr>
    </w:div>
    <w:div w:id="1904635921">
      <w:bodyDiv w:val="1"/>
      <w:marLeft w:val="0"/>
      <w:marRight w:val="0"/>
      <w:marTop w:val="0"/>
      <w:marBottom w:val="0"/>
      <w:divBdr>
        <w:top w:val="none" w:sz="0" w:space="0" w:color="auto"/>
        <w:left w:val="none" w:sz="0" w:space="0" w:color="auto"/>
        <w:bottom w:val="none" w:sz="0" w:space="0" w:color="auto"/>
        <w:right w:val="none" w:sz="0" w:space="0" w:color="auto"/>
      </w:divBdr>
    </w:div>
    <w:div w:id="2052217749">
      <w:bodyDiv w:val="1"/>
      <w:marLeft w:val="0"/>
      <w:marRight w:val="0"/>
      <w:marTop w:val="0"/>
      <w:marBottom w:val="0"/>
      <w:divBdr>
        <w:top w:val="none" w:sz="0" w:space="0" w:color="auto"/>
        <w:left w:val="none" w:sz="0" w:space="0" w:color="auto"/>
        <w:bottom w:val="none" w:sz="0" w:space="0" w:color="auto"/>
        <w:right w:val="none" w:sz="0" w:space="0" w:color="auto"/>
      </w:divBdr>
    </w:div>
    <w:div w:id="212156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urostat/web/products-manuals-and-guidelines/-/ks-01-18-85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133109209aa656df6cff2cb569fce982">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b44fdea9bbdc7a6d11affd0f2bf13879"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EFFE4-F6C8-4DC8-9628-455D5E797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15E84C-FA8D-4B1E-A0B9-223138485345}">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6692929F-4D35-46B6-9635-23F2EC6A20F6}">
  <ds:schemaRefs>
    <ds:schemaRef ds:uri="http://schemas.openxmlformats.org/officeDocument/2006/bibliography"/>
  </ds:schemaRefs>
</ds:datastoreItem>
</file>

<file path=customXml/itemProps4.xml><?xml version="1.0" encoding="utf-8"?>
<ds:datastoreItem xmlns:ds="http://schemas.openxmlformats.org/officeDocument/2006/customXml" ds:itemID="{BEADC7B2-3BA9-4B3E-820A-2B2972A87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6584</Words>
  <Characters>3753</Characters>
  <Application>Microsoft Office Word</Application>
  <DocSecurity>0</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Božena Zaikovska-Tomkevičienė</dc:creator>
  <cp:lastModifiedBy>Edita Rudakaitė-Šaukštel</cp:lastModifiedBy>
  <cp:revision>2</cp:revision>
  <dcterms:created xsi:type="dcterms:W3CDTF">2026-09-22T11:38:00Z</dcterms:created>
  <dcterms:modified xsi:type="dcterms:W3CDTF">2026-09-22T11:38:00Z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ies>
</file>