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3E" w:rsidRDefault="007C433E" w:rsidP="007C433E">
      <w:pPr>
        <w:ind w:left="9072"/>
        <w:rPr>
          <w:szCs w:val="24"/>
          <w:lang w:eastAsia="lt-LT"/>
        </w:rPr>
      </w:pPr>
      <w:r>
        <w:rPr>
          <w:szCs w:val="24"/>
          <w:lang w:eastAsia="lt-LT"/>
        </w:rPr>
        <w:t>2014–2020 metų Europos Sąjungos fondų investicijų</w:t>
      </w:r>
    </w:p>
    <w:p w:rsidR="007C433E" w:rsidRDefault="007C433E" w:rsidP="007C433E">
      <w:pPr>
        <w:ind w:left="9072"/>
        <w:rPr>
          <w:szCs w:val="24"/>
          <w:lang w:eastAsia="lt-LT"/>
        </w:rPr>
      </w:pPr>
      <w:r>
        <w:rPr>
          <w:szCs w:val="24"/>
          <w:lang w:eastAsia="lt-LT"/>
        </w:rPr>
        <w:t>veiksmų programos 1 prioriteto „Mokslinių tyrimų,</w:t>
      </w:r>
    </w:p>
    <w:p w:rsidR="007C433E" w:rsidRDefault="007C433E" w:rsidP="007C433E">
      <w:pPr>
        <w:ind w:left="9072"/>
        <w:rPr>
          <w:szCs w:val="24"/>
          <w:lang w:eastAsia="lt-LT"/>
        </w:rPr>
      </w:pPr>
      <w:r>
        <w:rPr>
          <w:szCs w:val="24"/>
          <w:lang w:eastAsia="lt-LT"/>
        </w:rPr>
        <w:t>eksperimentinės plėtros ir inovacijų skatinimas“ priemonės</w:t>
      </w:r>
    </w:p>
    <w:p w:rsidR="007C433E" w:rsidRDefault="007C433E" w:rsidP="007C433E">
      <w:pPr>
        <w:ind w:left="9072"/>
        <w:rPr>
          <w:szCs w:val="24"/>
          <w:lang w:eastAsia="lt-LT"/>
        </w:rPr>
      </w:pPr>
      <w:r>
        <w:rPr>
          <w:szCs w:val="24"/>
          <w:lang w:eastAsia="lt-LT"/>
        </w:rPr>
        <w:t>Nr. 01.2.1-LVPA-T-848 „</w:t>
      </w:r>
      <w:proofErr w:type="spellStart"/>
      <w:r>
        <w:rPr>
          <w:szCs w:val="24"/>
          <w:lang w:eastAsia="lt-LT"/>
        </w:rPr>
        <w:t>Smart</w:t>
      </w:r>
      <w:proofErr w:type="spellEnd"/>
      <w:r>
        <w:rPr>
          <w:szCs w:val="24"/>
          <w:lang w:eastAsia="lt-LT"/>
        </w:rPr>
        <w:t xml:space="preserve"> FDI“</w:t>
      </w:r>
    </w:p>
    <w:p w:rsidR="007C433E" w:rsidRDefault="007C433E" w:rsidP="007C433E">
      <w:pPr>
        <w:ind w:left="9072"/>
        <w:rPr>
          <w:szCs w:val="24"/>
          <w:lang w:eastAsia="lt-LT"/>
        </w:rPr>
      </w:pPr>
      <w:r>
        <w:rPr>
          <w:szCs w:val="24"/>
          <w:lang w:eastAsia="lt-LT"/>
        </w:rPr>
        <w:t xml:space="preserve">projektų finansavimo sąlygų aprašo </w:t>
      </w:r>
    </w:p>
    <w:p w:rsidR="007C433E" w:rsidRDefault="007C433E" w:rsidP="007C433E">
      <w:pPr>
        <w:ind w:left="9072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:rsidR="007C433E" w:rsidRDefault="007C433E" w:rsidP="007C433E">
      <w:pPr>
        <w:jc w:val="right"/>
        <w:rPr>
          <w:szCs w:val="24"/>
          <w:lang w:eastAsia="lt-LT"/>
        </w:rPr>
      </w:pPr>
    </w:p>
    <w:p w:rsidR="007C433E" w:rsidRDefault="007C433E" w:rsidP="007C433E">
      <w:pPr>
        <w:tabs>
          <w:tab w:val="left" w:pos="567"/>
        </w:tabs>
        <w:jc w:val="both"/>
        <w:rPr>
          <w:szCs w:val="24"/>
          <w:lang w:eastAsia="lt-LT"/>
        </w:rPr>
      </w:pPr>
    </w:p>
    <w:p w:rsidR="007C433E" w:rsidRDefault="007C433E" w:rsidP="007C433E">
      <w:pPr>
        <w:jc w:val="center"/>
        <w:rPr>
          <w:rFonts w:eastAsia="Calibri"/>
          <w:b/>
          <w:caps/>
          <w:color w:val="000000"/>
          <w:szCs w:val="24"/>
        </w:rPr>
      </w:pPr>
      <w:r>
        <w:rPr>
          <w:rFonts w:eastAsia="Calibri"/>
          <w:b/>
          <w:caps/>
          <w:color w:val="000000"/>
          <w:szCs w:val="24"/>
        </w:rPr>
        <w:t xml:space="preserve">PROJEKTŲ ATITIKTIES </w:t>
      </w:r>
      <w:r>
        <w:rPr>
          <w:rFonts w:eastAsia="Calibri"/>
          <w:b/>
          <w:i/>
          <w:caps/>
          <w:color w:val="000000"/>
          <w:szCs w:val="24"/>
        </w:rPr>
        <w:t xml:space="preserve">de minimis </w:t>
      </w:r>
      <w:r>
        <w:rPr>
          <w:rFonts w:eastAsia="Calibri"/>
          <w:b/>
          <w:caps/>
          <w:color w:val="000000"/>
          <w:szCs w:val="24"/>
        </w:rPr>
        <w:t>PAGALBOS TAISYKLĖMS Patikros lapas</w:t>
      </w:r>
    </w:p>
    <w:p w:rsidR="007C433E" w:rsidRDefault="007C433E" w:rsidP="007C433E">
      <w:pPr>
        <w:jc w:val="center"/>
        <w:rPr>
          <w:rFonts w:eastAsia="Calibri"/>
          <w:b/>
          <w:caps/>
          <w:color w:val="000000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7C433E" w:rsidTr="00E858FE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1. Finansavimo teisinis pagrindas</w:t>
            </w:r>
          </w:p>
        </w:tc>
      </w:tr>
      <w:tr w:rsidR="007C433E" w:rsidTr="00E858FE"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2013 m. gruodžio 18 d. Komisijos reglamentas (ES) Nr. 1407/2013 dėl Sutarties dėl Europos Sąjungos veikimo 107 ir 108 straipsnių taikymo </w:t>
            </w:r>
            <w:proofErr w:type="spellStart"/>
            <w:r>
              <w:rPr>
                <w:rFonts w:eastAsia="Calibri"/>
                <w:bCs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bCs/>
                <w:color w:val="000000"/>
                <w:szCs w:val="24"/>
              </w:rPr>
              <w:t xml:space="preserve"> pagalbai (OL 2013 L 352, p. 1) (toliau – </w:t>
            </w:r>
            <w:proofErr w:type="spellStart"/>
            <w:r>
              <w:rPr>
                <w:rFonts w:eastAsia="Calibri"/>
                <w:bCs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bCs/>
                <w:color w:val="000000"/>
                <w:szCs w:val="24"/>
              </w:rPr>
              <w:t xml:space="preserve"> reglamentas)</w:t>
            </w:r>
          </w:p>
        </w:tc>
      </w:tr>
    </w:tbl>
    <w:p w:rsidR="007C433E" w:rsidRDefault="007C433E" w:rsidP="007C433E">
      <w:pPr>
        <w:jc w:val="center"/>
        <w:rPr>
          <w:rFonts w:eastAsia="Calibri"/>
          <w:caps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10626"/>
      </w:tblGrid>
      <w:tr w:rsidR="007C433E" w:rsidTr="00E858FE">
        <w:tc>
          <w:tcPr>
            <w:tcW w:w="1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 xml:space="preserve">2. Duomenys apie paraišką 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/ </w:t>
            </w:r>
            <w:r>
              <w:rPr>
                <w:rFonts w:eastAsia="Calibri"/>
                <w:b/>
                <w:color w:val="000000"/>
                <w:szCs w:val="24"/>
              </w:rPr>
              <w:t xml:space="preserve">projektą </w:t>
            </w:r>
          </w:p>
        </w:tc>
      </w:tr>
      <w:tr w:rsidR="007C433E" w:rsidTr="00E85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 xml:space="preserve">Paraiškos / projekto numeris 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 xml:space="preserve">Pareiškėjo / projekto vykdytojo pavadinimas 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 xml:space="preserve">Projekto pavadinimas 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b/>
                <w:color w:val="000000"/>
                <w:szCs w:val="24"/>
              </w:rPr>
            </w:pPr>
          </w:p>
        </w:tc>
      </w:tr>
    </w:tbl>
    <w:p w:rsidR="007C433E" w:rsidRDefault="007C433E" w:rsidP="007C433E">
      <w:pPr>
        <w:rPr>
          <w:rFonts w:eastAsia="Calibri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499"/>
        <w:gridCol w:w="730"/>
        <w:gridCol w:w="708"/>
        <w:gridCol w:w="1417"/>
        <w:gridCol w:w="4959"/>
      </w:tblGrid>
      <w:tr w:rsidR="007C433E" w:rsidTr="00E858FE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3. Paraiškos/projekto/finansuojamų galutinio naudos gavėjo veiklų patikra dėl atitikties </w:t>
            </w:r>
            <w:proofErr w:type="spellStart"/>
            <w:r>
              <w:rPr>
                <w:rFonts w:eastAsia="Calibri"/>
                <w:b/>
                <w:bCs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b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 reglamentui</w:t>
            </w:r>
          </w:p>
        </w:tc>
      </w:tr>
      <w:tr w:rsidR="007C433E" w:rsidTr="00E858FE">
        <w:trPr>
          <w:trHeight w:val="28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tabs>
                <w:tab w:val="left" w:pos="0"/>
              </w:tabs>
              <w:ind w:right="-465" w:firstLine="720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Cs w:val="24"/>
              </w:rPr>
              <w:t>NNr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Klausimai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 xml:space="preserve">Rezultatas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Pastabos</w:t>
            </w:r>
          </w:p>
        </w:tc>
      </w:tr>
      <w:tr w:rsidR="007C433E" w:rsidTr="00E858FE">
        <w:trPr>
          <w:trHeight w:val="451"/>
        </w:trPr>
        <w:tc>
          <w:tcPr>
            <w:tcW w:w="1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rPr>
                <w:color w:val="000000"/>
                <w:szCs w:val="24"/>
              </w:rPr>
            </w:pPr>
          </w:p>
        </w:tc>
        <w:tc>
          <w:tcPr>
            <w:tcW w:w="6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rPr>
                <w:color w:val="000000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Taip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center"/>
              <w:rPr>
                <w:rFonts w:eastAsia="Calibri"/>
                <w:b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Netaikoma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rPr>
                <w:b/>
                <w:color w:val="000000"/>
                <w:szCs w:val="24"/>
              </w:rPr>
            </w:pPr>
          </w:p>
        </w:tc>
      </w:tr>
      <w:tr w:rsidR="007C433E" w:rsidTr="00E858FE">
        <w:trPr>
          <w:trHeight w:val="36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3.1.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Ar pareiškėjas / projekto vykdytojas vykdo veiklą žuvininkystės ir akvakultūros sektoriuje, kuriam taikomas 2013 m. gruodžio 11 d. Europos Parlamento ir Tarybos reglamentas (ES) Nr. 1379/2013 dėl bendro žvejybos ir akvakultūros produktų rinkų organizavimo, kuriuo iš dalies keičiami Tarybos reglamentai (EB) Nr. 1184/2006 ir (EB) Nr. 1224/2009 ir panaikinamas Tarybos reglamentas (EB) Nr. 104/2000 (</w:t>
            </w:r>
            <w:r>
              <w:rPr>
                <w:rFonts w:eastAsia="Calibri"/>
                <w:iCs/>
                <w:color w:val="000000"/>
                <w:szCs w:val="24"/>
              </w:rPr>
              <w:t>OL 2013 L 354, p. 1</w:t>
            </w:r>
            <w:r>
              <w:rPr>
                <w:rFonts w:eastAsia="Calibri"/>
                <w:color w:val="000000"/>
                <w:szCs w:val="24"/>
              </w:rPr>
              <w:t>)?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sz w:val="40"/>
                <w:szCs w:val="40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1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pareiškėjas (projekto vykdytojas) vykdo pirminės žemės ūkio </w:t>
            </w:r>
            <w:r>
              <w:rPr>
                <w:rFonts w:eastAsia="Calibri"/>
                <w:color w:val="000000"/>
                <w:szCs w:val="24"/>
              </w:rPr>
              <w:lastRenderedPageBreak/>
              <w:t>produktų gamybos veiklą?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lastRenderedPageBreak/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1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Ar pareiškėjas (projekto vykdytojas) veikia žemės ūkio produktų perdirbimo ir prekybos sektoriuje, kai valstybės pagalbos dydis nustatomas pagal iš pirminių gamintojų įsigytų arba atitinkamų įmonių rinkai pateiktų produktų kainą arba kiekį?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2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Ar pareiškėjas (projekto vykdytojas) veikia žemės ūkio produktų perdirbimo ir prekybos sektoriuje, kai valstybės pagalba priklauso nuo to, ar bus iš dalies arba visa perduota pirminiams gamintojams?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2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pareiškėjas (projekto vykdytojas) vykdo su eksportu susijusią veiklą trečiosiose valstybėse arba </w:t>
            </w:r>
            <w:r>
              <w:rPr>
                <w:rFonts w:eastAsia="Calibri" w:cs="EYInterstate"/>
                <w:color w:val="000000"/>
                <w:szCs w:val="24"/>
                <w:lang w:eastAsia="lt-LT"/>
              </w:rPr>
              <w:t>Europos Sąjungos</w:t>
            </w:r>
            <w:r>
              <w:rPr>
                <w:rFonts w:eastAsia="Calibri"/>
                <w:color w:val="000000"/>
                <w:szCs w:val="24"/>
              </w:rPr>
              <w:t xml:space="preserve"> valstybėse (t. y. veikla tiesiogiai susijusi su eksportuojamais kiekiais, platinimo tinklo kūrimu ir veikla arba kitomis einamosiomis išlaidomis, susijusiomis su eksporto veikla)?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3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3.6.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Ar pareiškėjui (projekto vykdytojui) teikiama valstybės pagalba priklauso nuo to, ar daugiau vartojama vietinių nei importuotų prekių?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19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3.7.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Jei pareiškėjas (projekto vykdytojas) vykdo veiklą šio priedo 3.1–3.4 papunkčiuose nurodytuose sektoriuose, tačiau kartu  bent viename sektoriuje, kuriam taikomas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reglamentas, ir pastarajam sektoriui pagalba teikiama, ar užtikrinama, kad tinkamomis priemonėmis, kaip antai atskiriant veiklos sritis ar sąnaudas, veiklai tuose sektoriuose, kuriems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reglamentas netaikomas, nebūtų teikiama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pagalba, kuri teikiama pagal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reglamentą? </w:t>
            </w:r>
            <w:r>
              <w:rPr>
                <w:rFonts w:eastAsia="Calibri"/>
                <w:i/>
                <w:color w:val="000000"/>
                <w:szCs w:val="24"/>
              </w:rPr>
              <w:t>(Jei taikoma)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5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3.8.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yra (bus) naudojama krovinių vežimo keliais transporto priemonėms įsigyti?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102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3.9.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bendra vienai įmonei, kaip ji apibrėžta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reglamente, suteikta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pagalbos suma Lietuvos Respublikoje neviršija (ar konkrečiu atveju viršys suteikus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pagalbą) 200 000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(du šimtus tūkstančių eurų) per bet kurį trejų finansinių metų laikotarpį?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jc w:val="both"/>
              <w:rPr>
                <w:rFonts w:eastAsia="Calibri"/>
                <w:i/>
                <w:color w:val="000000"/>
                <w:szCs w:val="24"/>
              </w:rPr>
            </w:pPr>
          </w:p>
        </w:tc>
      </w:tr>
      <w:tr w:rsidR="007C433E" w:rsidTr="00E858FE">
        <w:trPr>
          <w:trHeight w:val="177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3.10.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Jei įmonė (pareiškėjas, projekto vykdytojas) vykdo krovinių vežimo keliais veiklą samdos pagrindais arba už atlygį ir taip pat kitą veiklą, kuriai taikoma 200 000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(dviejų šimtų tūkstančių eurų) viršutinė riba, ar užtikrinama, kad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krovinių vežimo keliais veiklai neviršytų 100 000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(šimto tūkstančio eurų) ir kad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nebūtų naudojama krovinių vežimo keliais transporto priemonėms įsigyti? </w:t>
            </w:r>
            <w:r>
              <w:rPr>
                <w:rFonts w:eastAsia="Calibri"/>
                <w:i/>
                <w:color w:val="000000"/>
                <w:szCs w:val="24"/>
              </w:rPr>
              <w:t>(Jei taikoma)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2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3.11.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Jei dvi įmonės susijungė arba viena įsigijo kitą, ar apskaičiuojant, ar nauja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naujajai arba įsigyjančiajai įmonei viršija atitinkamą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reglamente nustatytą viršutinę ribą, atsižvelgta į visą ankstesnę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pagalbą, suteiktą bet kuriai iš susijungiančių įmonių? </w:t>
            </w:r>
            <w:r>
              <w:rPr>
                <w:rFonts w:eastAsia="Calibri"/>
                <w:i/>
                <w:color w:val="000000"/>
                <w:szCs w:val="24"/>
              </w:rPr>
              <w:t>(Jei taikoma)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123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3.12.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Jei viena įmonė suskaidyta į dvi ar daugiau atskirų įmonių, ar iki suskaidymo suteikta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priskiriama įmonei, kuri ja pasinaudojo? Jei toks priskyrimas neįmanomas, ar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proporcingai paskirstoma remiantis naujųjų įmonių nuosavo kapitalo balansine verte suskaidymo įsigaliojimo dieną?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rPr>
          <w:trHeight w:val="69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3.13.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teikiamo finansavimo bendrasis subsidijos ekvivalentas apskaičiuotas tinkamai, teikiama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yra skaidri? (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reglamento 4 straipsnis)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(Nurodyti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reglamento 4 straipsnio dalį, pagal kurią teikiama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pagalba laikoma skaidria)</w:t>
            </w:r>
          </w:p>
        </w:tc>
      </w:tr>
      <w:tr w:rsidR="007C433E" w:rsidTr="00E858FE">
        <w:trPr>
          <w:trHeight w:val="5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3.14.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sumuojama pagal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reglamento 5 straipsnio reikalavimus?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i/>
                <w:color w:val="000000"/>
                <w:szCs w:val="24"/>
              </w:rPr>
            </w:pPr>
          </w:p>
        </w:tc>
      </w:tr>
      <w:tr w:rsidR="007C433E" w:rsidTr="00E858FE">
        <w:trPr>
          <w:trHeight w:val="1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ind w:right="-46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3.15.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teikiama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pagalba patenka į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reglamento galiojimo laikotarpį?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</w:tbl>
    <w:p w:rsidR="007C433E" w:rsidRDefault="007C433E" w:rsidP="007C433E">
      <w:pPr>
        <w:rPr>
          <w:rFonts w:eastAsia="Calibri"/>
          <w:szCs w:val="24"/>
        </w:rPr>
      </w:pPr>
    </w:p>
    <w:p w:rsidR="007C433E" w:rsidRDefault="007C433E" w:rsidP="007C433E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51"/>
        <w:gridCol w:w="784"/>
        <w:gridCol w:w="705"/>
        <w:gridCol w:w="704"/>
        <w:gridCol w:w="1981"/>
        <w:gridCol w:w="4177"/>
        <w:gridCol w:w="322"/>
      </w:tblGrid>
      <w:tr w:rsidR="007C433E" w:rsidTr="00E858FE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 xml:space="preserve">4. Finansavimo atitikties </w:t>
            </w:r>
            <w:proofErr w:type="spellStart"/>
            <w:r>
              <w:rPr>
                <w:rFonts w:eastAsia="Calibri"/>
                <w:b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b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b/>
                <w:color w:val="000000"/>
                <w:szCs w:val="24"/>
              </w:rPr>
              <w:t xml:space="preserve"> reglamentui vertinimas </w:t>
            </w:r>
          </w:p>
        </w:tc>
      </w:tr>
      <w:tr w:rsidR="007C433E" w:rsidTr="00E858FE">
        <w:trPr>
          <w:trHeight w:val="50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right="-465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4.1. </w:t>
            </w:r>
          </w:p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3E" w:rsidRDefault="007C433E" w:rsidP="00E858FE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Ar teikiamas finansavimas atitinka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de</w:t>
            </w:r>
            <w:proofErr w:type="spellEnd"/>
            <w:r>
              <w:rPr>
                <w:rFonts w:eastAsia="Calibr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Cs w:val="24"/>
              </w:rPr>
              <w:t>minimis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reglamentą?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ind w:hanging="3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3E" w:rsidRDefault="007C433E" w:rsidP="00E858FE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sz w:val="40"/>
                <w:szCs w:val="40"/>
                <w:highlight w:val="lightGray"/>
              </w:rPr>
              <w:t>□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3E" w:rsidRDefault="007C433E" w:rsidP="00E858FE">
            <w:pPr>
              <w:ind w:firstLine="720"/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  <w:trHeight w:val="297"/>
        </w:trPr>
        <w:tc>
          <w:tcPr>
            <w:tcW w:w="6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_____________________________________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(vertintojas) </w:t>
            </w:r>
          </w:p>
        </w:tc>
        <w:tc>
          <w:tcPr>
            <w:tcW w:w="4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____________ 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(parašas) 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:rsidR="007C433E" w:rsidRDefault="007C433E" w:rsidP="00E858FE">
            <w:pPr>
              <w:rPr>
                <w:rFonts w:eastAsia="Calibri"/>
                <w:i/>
                <w:color w:val="000000"/>
                <w:szCs w:val="24"/>
              </w:rPr>
            </w:pP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____________ 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(data) </w:t>
            </w:r>
          </w:p>
        </w:tc>
      </w:tr>
      <w:tr w:rsidR="007C433E" w:rsidTr="00E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  <w:trHeight w:val="689"/>
        </w:trPr>
        <w:tc>
          <w:tcPr>
            <w:tcW w:w="14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lastRenderedPageBreak/>
              <w:t xml:space="preserve">Patikros peržiūra: 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□ Išvadai pritarti 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□ Išvadai nepritarti </w:t>
            </w:r>
          </w:p>
          <w:p w:rsidR="007C433E" w:rsidRDefault="007C433E" w:rsidP="00E858FE">
            <w:pPr>
              <w:rPr>
                <w:rFonts w:eastAsia="Calibri"/>
                <w:i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>Pastabos:_______________________________________________________________________</w:t>
            </w:r>
          </w:p>
          <w:p w:rsidR="007C433E" w:rsidRDefault="007C433E" w:rsidP="00E858FE">
            <w:pPr>
              <w:ind w:firstLine="62"/>
              <w:rPr>
                <w:rFonts w:eastAsia="Calibri"/>
                <w:color w:val="000000"/>
                <w:szCs w:val="24"/>
              </w:rPr>
            </w:pPr>
          </w:p>
        </w:tc>
      </w:tr>
      <w:tr w:rsidR="007C433E" w:rsidTr="00E858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  <w:trHeight w:val="298"/>
        </w:trPr>
        <w:tc>
          <w:tcPr>
            <w:tcW w:w="63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______________________________________ 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(vadovas) </w:t>
            </w:r>
          </w:p>
        </w:tc>
        <w:tc>
          <w:tcPr>
            <w:tcW w:w="417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____________ 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(parašas) 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____________ </w:t>
            </w:r>
          </w:p>
          <w:p w:rsidR="007C433E" w:rsidRDefault="007C433E" w:rsidP="00E858FE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 xml:space="preserve">(data) </w:t>
            </w:r>
          </w:p>
        </w:tc>
      </w:tr>
    </w:tbl>
    <w:p w:rsidR="007C433E" w:rsidRDefault="007C433E" w:rsidP="007C433E">
      <w:pPr>
        <w:ind w:left="6480" w:firstLine="1296"/>
        <w:rPr>
          <w:rFonts w:eastAsia="Calibri"/>
          <w:szCs w:val="24"/>
        </w:rPr>
      </w:pPr>
    </w:p>
    <w:p w:rsidR="007C433E" w:rsidRDefault="007C433E" w:rsidP="007C433E">
      <w:pPr>
        <w:jc w:val="center"/>
        <w:rPr>
          <w:rFonts w:eastAsia="Calibri"/>
          <w:szCs w:val="24"/>
        </w:rPr>
      </w:pPr>
    </w:p>
    <w:p w:rsidR="007C433E" w:rsidRDefault="007C433E" w:rsidP="007C433E">
      <w:pPr>
        <w:tabs>
          <w:tab w:val="left" w:pos="567"/>
        </w:tabs>
        <w:ind w:left="360"/>
        <w:jc w:val="both"/>
        <w:rPr>
          <w:szCs w:val="24"/>
          <w:lang w:eastAsia="lt-LT"/>
        </w:rPr>
      </w:pPr>
    </w:p>
    <w:p w:rsidR="007C433E" w:rsidRDefault="007C433E" w:rsidP="007C433E">
      <w:pPr>
        <w:tabs>
          <w:tab w:val="left" w:pos="567"/>
        </w:tabs>
        <w:jc w:val="center"/>
        <w:rPr>
          <w:rFonts w:eastAsia="Calibri"/>
          <w:szCs w:val="24"/>
        </w:rPr>
      </w:pPr>
      <w:r>
        <w:rPr>
          <w:szCs w:val="24"/>
          <w:lang w:eastAsia="lt-LT"/>
        </w:rPr>
        <w:t>___________________</w:t>
      </w:r>
    </w:p>
    <w:p w:rsidR="007C433E" w:rsidRDefault="007C433E" w:rsidP="007C433E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:rsidR="007C433E" w:rsidRDefault="007C433E" w:rsidP="007C433E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4-2</w:t>
        </w:r>
      </w:hyperlink>
      <w:r>
        <w:rPr>
          <w:rFonts w:eastAsia="MS Mincho"/>
          <w:i/>
          <w:iCs/>
          <w:sz w:val="20"/>
        </w:rPr>
        <w:t>, 2018-01-05, paskelbta TAR 2018-01-05, i. k. 2018-00249</w:t>
      </w:r>
    </w:p>
    <w:p w:rsidR="007C433E" w:rsidRDefault="007C433E" w:rsidP="007C433E"/>
    <w:p w:rsidR="007C433E" w:rsidRDefault="007C433E" w:rsidP="007C433E">
      <w:pPr>
        <w:jc w:val="both"/>
        <w:rPr>
          <w:b/>
          <w:sz w:val="20"/>
        </w:rPr>
      </w:pPr>
    </w:p>
    <w:p w:rsidR="007C433E" w:rsidRDefault="007C433E" w:rsidP="007C433E">
      <w:pPr>
        <w:jc w:val="both"/>
        <w:rPr>
          <w:b/>
          <w:sz w:val="20"/>
        </w:rPr>
      </w:pPr>
    </w:p>
    <w:p w:rsidR="007C433E" w:rsidRDefault="007C433E" w:rsidP="007C433E">
      <w:pPr>
        <w:jc w:val="both"/>
        <w:rPr>
          <w:b/>
        </w:rPr>
      </w:pPr>
      <w:r>
        <w:rPr>
          <w:b/>
          <w:sz w:val="20"/>
        </w:rPr>
        <w:t>Pakeitimai:</w:t>
      </w:r>
    </w:p>
    <w:p w:rsidR="007C433E" w:rsidRDefault="007C433E" w:rsidP="007C433E">
      <w:pPr>
        <w:jc w:val="both"/>
        <w:rPr>
          <w:sz w:val="20"/>
        </w:rPr>
      </w:pPr>
    </w:p>
    <w:p w:rsidR="007C433E" w:rsidRDefault="007C433E" w:rsidP="007C433E">
      <w:pPr>
        <w:jc w:val="both"/>
      </w:pPr>
      <w:r>
        <w:rPr>
          <w:sz w:val="20"/>
        </w:rPr>
        <w:t>1.</w:t>
      </w:r>
    </w:p>
    <w:p w:rsidR="007C433E" w:rsidRDefault="007C433E" w:rsidP="007C433E">
      <w:pPr>
        <w:jc w:val="both"/>
      </w:pPr>
      <w:r>
        <w:rPr>
          <w:sz w:val="20"/>
        </w:rPr>
        <w:t>Lietuvos Respublikos ūkio ministerija, Įsakymas</w:t>
      </w:r>
    </w:p>
    <w:p w:rsidR="007C433E" w:rsidRDefault="007C433E" w:rsidP="007C433E">
      <w:pPr>
        <w:jc w:val="both"/>
      </w:pPr>
      <w:r>
        <w:rPr>
          <w:sz w:val="20"/>
        </w:rPr>
        <w:t xml:space="preserve">Nr. </w:t>
      </w:r>
      <w:hyperlink r:id="rId6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4-628</w:t>
        </w:r>
      </w:hyperlink>
      <w:r>
        <w:rPr>
          <w:rFonts w:eastAsia="MS Mincho"/>
          <w:iCs/>
          <w:sz w:val="20"/>
        </w:rPr>
        <w:t>, 2017-11-03, paskelbta TAR 2017-11-03, i. k. 2017-17449</w:t>
      </w:r>
    </w:p>
    <w:p w:rsidR="007C433E" w:rsidRDefault="007C433E" w:rsidP="007C433E">
      <w:pPr>
        <w:jc w:val="both"/>
      </w:pPr>
      <w:r>
        <w:rPr>
          <w:sz w:val="20"/>
        </w:rPr>
        <w:t>Dėl Lietuvos Respublikos ūkio ministro 2017 m. birželio 20 d. įsakymo Nr. 4-363 „Dėl 2014–2020 metų Europos Sąjungos fondų investicijų veiksmų programos 1 prioriteto „Mokslinių tyrimų, eksperimentinės plėtros ir inovacijų skatinimas“ priemonės Nr. 01.2.1-LVPA-T-848 „</w:t>
      </w:r>
      <w:proofErr w:type="spellStart"/>
      <w:r>
        <w:rPr>
          <w:sz w:val="20"/>
        </w:rPr>
        <w:t>Smart</w:t>
      </w:r>
      <w:proofErr w:type="spellEnd"/>
      <w:r>
        <w:rPr>
          <w:sz w:val="20"/>
        </w:rPr>
        <w:t xml:space="preserve"> FDI“ projektų finansavimo sąlygų aprašo patvirtinimo“ pakeitimo</w:t>
      </w:r>
    </w:p>
    <w:p w:rsidR="007C433E" w:rsidRDefault="007C433E" w:rsidP="007C433E">
      <w:pPr>
        <w:jc w:val="both"/>
        <w:rPr>
          <w:sz w:val="20"/>
        </w:rPr>
      </w:pPr>
    </w:p>
    <w:p w:rsidR="007C433E" w:rsidRDefault="007C433E" w:rsidP="007C433E">
      <w:pPr>
        <w:jc w:val="both"/>
      </w:pPr>
      <w:r>
        <w:rPr>
          <w:sz w:val="20"/>
        </w:rPr>
        <w:t>2.</w:t>
      </w:r>
    </w:p>
    <w:p w:rsidR="007C433E" w:rsidRDefault="007C433E" w:rsidP="007C433E">
      <w:pPr>
        <w:jc w:val="both"/>
      </w:pPr>
      <w:r>
        <w:rPr>
          <w:sz w:val="20"/>
        </w:rPr>
        <w:t>Lietuvos Respublikos ūkio ministerija, Įsakymas</w:t>
      </w:r>
    </w:p>
    <w:p w:rsidR="007C433E" w:rsidRDefault="007C433E" w:rsidP="007C433E">
      <w:pPr>
        <w:jc w:val="both"/>
      </w:pPr>
      <w:r>
        <w:rPr>
          <w:sz w:val="20"/>
        </w:rPr>
        <w:t xml:space="preserve">Nr. </w:t>
      </w:r>
      <w:hyperlink r:id="rId7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4-2</w:t>
        </w:r>
      </w:hyperlink>
      <w:r>
        <w:rPr>
          <w:rFonts w:eastAsia="MS Mincho"/>
          <w:iCs/>
          <w:sz w:val="20"/>
        </w:rPr>
        <w:t>, 2018-01-05, paskelbta TAR 2018-01-05, i. k. 2018-00249</w:t>
      </w:r>
    </w:p>
    <w:p w:rsidR="007C433E" w:rsidRDefault="007C433E" w:rsidP="007C433E">
      <w:pPr>
        <w:jc w:val="both"/>
      </w:pPr>
      <w:r>
        <w:rPr>
          <w:sz w:val="20"/>
        </w:rPr>
        <w:t>Dėl Lietuvos Respublikos ūkio ministro 2017 m. birželio 20 d. įsakymo Nr. 4-363 „Dėl 2014–2020 metų Europos Sąjungos fondų investicijų veiksmų programos 1 prioriteto „Mokslinių tyrimų, eksperimentinės plėtros ir inovacijų skatinimas“ priemonės Nr. 01.2.1-LVPA-T-848 „</w:t>
      </w:r>
      <w:proofErr w:type="spellStart"/>
      <w:r>
        <w:rPr>
          <w:sz w:val="20"/>
        </w:rPr>
        <w:t>Smart</w:t>
      </w:r>
      <w:proofErr w:type="spellEnd"/>
      <w:r>
        <w:rPr>
          <w:sz w:val="20"/>
        </w:rPr>
        <w:t xml:space="preserve"> FDI“ projektų finansavimo sąlygų aprašo patvirtinimo“ pakeitimo</w:t>
      </w:r>
    </w:p>
    <w:p w:rsidR="007C433E" w:rsidRDefault="007C433E" w:rsidP="007C433E">
      <w:pPr>
        <w:jc w:val="both"/>
        <w:rPr>
          <w:sz w:val="20"/>
        </w:rPr>
      </w:pPr>
    </w:p>
    <w:p w:rsidR="007C433E" w:rsidRDefault="007C433E" w:rsidP="007C433E">
      <w:pPr>
        <w:widowControl w:val="0"/>
        <w:rPr>
          <w:snapToGrid w:val="0"/>
        </w:rPr>
      </w:pPr>
    </w:p>
    <w:p w:rsidR="00FF4F57" w:rsidRDefault="00FF4F57">
      <w:bookmarkStart w:id="0" w:name="_GoBack"/>
      <w:bookmarkEnd w:id="0"/>
    </w:p>
    <w:sectPr w:rsidR="00FF4F57">
      <w:pgSz w:w="16838" w:h="11906" w:orient="landscape"/>
      <w:pgMar w:top="1701" w:right="567" w:bottom="567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3E"/>
    <w:rsid w:val="007C433E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1e72bc10f1e511e7845fceb29e7ecd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29ef68d0c07211e79122ea2db7aeb5f0" TargetMode="External"/><Relationship Id="rId5" Type="http://schemas.openxmlformats.org/officeDocument/2006/relationships/hyperlink" Target="https://www.e-tar.lt/portal/legalAct.html?documentId=1e72bc10f1e511e7845fceb29e7ecd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4224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Strolyte Alge</dc:creator>
  <cp:lastModifiedBy>Strolyte Alge</cp:lastModifiedBy>
  <cp:revision>1</cp:revision>
  <dcterms:created xsi:type="dcterms:W3CDTF">2018-01-08T13:51:00Z</dcterms:created>
  <dcterms:modified xsi:type="dcterms:W3CDTF">2018-01-08T13:52:00Z</dcterms:modified>
</cp:coreProperties>
</file>